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374" w:rsidRPr="001E2AB8" w:rsidRDefault="003A0374" w:rsidP="001E2AB8">
      <w:pPr>
        <w:pStyle w:val="a3"/>
        <w:shd w:val="clear" w:color="auto" w:fill="FFFFFF"/>
        <w:spacing w:before="0" w:beforeAutospacing="0" w:after="0" w:afterAutospacing="0"/>
        <w:jc w:val="center"/>
        <w:rPr>
          <w:color w:val="000000"/>
          <w:sz w:val="28"/>
          <w:szCs w:val="28"/>
        </w:rPr>
      </w:pPr>
      <w:r w:rsidRPr="001E2AB8">
        <w:rPr>
          <w:rStyle w:val="a4"/>
          <w:color w:val="000000"/>
          <w:sz w:val="28"/>
          <w:szCs w:val="28"/>
          <w:bdr w:val="none" w:sz="0" w:space="0" w:color="auto" w:frame="1"/>
        </w:rPr>
        <w:t>ПОВІДОМЛЕННЯ</w:t>
      </w:r>
    </w:p>
    <w:p w:rsidR="003A0374" w:rsidRDefault="003A0374" w:rsidP="001E2AB8">
      <w:pPr>
        <w:pStyle w:val="a3"/>
        <w:shd w:val="clear" w:color="auto" w:fill="FFFFFF"/>
        <w:spacing w:before="0" w:beforeAutospacing="0" w:after="0" w:afterAutospacing="0"/>
        <w:jc w:val="center"/>
        <w:rPr>
          <w:rStyle w:val="a4"/>
          <w:color w:val="000000"/>
          <w:sz w:val="28"/>
          <w:szCs w:val="28"/>
          <w:bdr w:val="none" w:sz="0" w:space="0" w:color="auto" w:frame="1"/>
        </w:rPr>
      </w:pPr>
      <w:r w:rsidRPr="001E2AB8">
        <w:rPr>
          <w:rStyle w:val="a4"/>
          <w:color w:val="000000"/>
          <w:sz w:val="28"/>
          <w:szCs w:val="28"/>
          <w:bdr w:val="none" w:sz="0" w:space="0" w:color="auto" w:frame="1"/>
        </w:rPr>
        <w:t>про оприлюднення проекту регуляторного акту «</w:t>
      </w:r>
      <w:r w:rsidR="0096173E" w:rsidRPr="0096173E">
        <w:rPr>
          <w:rStyle w:val="a4"/>
          <w:color w:val="000000"/>
          <w:sz w:val="28"/>
          <w:szCs w:val="28"/>
          <w:bdr w:val="none" w:sz="0" w:space="0" w:color="auto" w:frame="1"/>
        </w:rPr>
        <w:t>Про затвердження технічної документації з нормативної грошової оцінки земель населеного пункту села Лютіж Вишгородського району Київської області</w:t>
      </w:r>
      <w:r w:rsidRPr="001E2AB8">
        <w:rPr>
          <w:rStyle w:val="a4"/>
          <w:color w:val="000000"/>
          <w:sz w:val="28"/>
          <w:szCs w:val="28"/>
          <w:bdr w:val="none" w:sz="0" w:space="0" w:color="auto" w:frame="1"/>
        </w:rPr>
        <w:t>»</w:t>
      </w:r>
    </w:p>
    <w:p w:rsidR="001E2AB8" w:rsidRPr="001E2AB8" w:rsidRDefault="001E2AB8" w:rsidP="001E2AB8">
      <w:pPr>
        <w:pStyle w:val="a3"/>
        <w:shd w:val="clear" w:color="auto" w:fill="FFFFFF"/>
        <w:spacing w:before="0" w:beforeAutospacing="0" w:after="0" w:afterAutospacing="0"/>
        <w:jc w:val="center"/>
        <w:rPr>
          <w:color w:val="000000"/>
          <w:sz w:val="28"/>
          <w:szCs w:val="28"/>
        </w:rPr>
      </w:pP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 xml:space="preserve">Аналіз регуляторного впливу проекту рішення </w:t>
      </w:r>
      <w:r w:rsidR="001E2AB8">
        <w:rPr>
          <w:color w:val="000000"/>
          <w:sz w:val="28"/>
          <w:szCs w:val="28"/>
          <w:bdr w:val="none" w:sz="0" w:space="0" w:color="auto" w:frame="1"/>
        </w:rPr>
        <w:t>Петрівської сіль</w:t>
      </w:r>
      <w:r w:rsidR="00406A33">
        <w:rPr>
          <w:color w:val="000000"/>
          <w:sz w:val="28"/>
          <w:szCs w:val="28"/>
          <w:bdr w:val="none" w:sz="0" w:space="0" w:color="auto" w:frame="1"/>
        </w:rPr>
        <w:t>сь</w:t>
      </w:r>
      <w:r w:rsidR="001E2AB8">
        <w:rPr>
          <w:color w:val="000000"/>
          <w:sz w:val="28"/>
          <w:szCs w:val="28"/>
          <w:bdr w:val="none" w:sz="0" w:space="0" w:color="auto" w:frame="1"/>
        </w:rPr>
        <w:t>кої</w:t>
      </w:r>
      <w:r w:rsidRPr="001E2AB8">
        <w:rPr>
          <w:color w:val="000000"/>
          <w:sz w:val="28"/>
          <w:szCs w:val="28"/>
          <w:bdr w:val="none" w:sz="0" w:space="0" w:color="auto" w:frame="1"/>
        </w:rPr>
        <w:t xml:space="preserve"> ради </w:t>
      </w:r>
      <w:r w:rsidR="001E2AB8">
        <w:rPr>
          <w:color w:val="000000"/>
          <w:sz w:val="28"/>
          <w:szCs w:val="28"/>
          <w:bdr w:val="none" w:sz="0" w:space="0" w:color="auto" w:frame="1"/>
        </w:rPr>
        <w:t xml:space="preserve">Вишгородського </w:t>
      </w:r>
      <w:r w:rsidRPr="001E2AB8">
        <w:rPr>
          <w:color w:val="000000"/>
          <w:sz w:val="28"/>
          <w:szCs w:val="28"/>
          <w:bdr w:val="none" w:sz="0" w:space="0" w:color="auto" w:frame="1"/>
        </w:rPr>
        <w:t xml:space="preserve">району Київської області </w:t>
      </w:r>
      <w:r w:rsidR="001E2AB8" w:rsidRPr="00F96072">
        <w:rPr>
          <w:sz w:val="28"/>
          <w:szCs w:val="28"/>
        </w:rPr>
        <w:t xml:space="preserve">«Про затвердження технічної документації з нормативної грошової оцінки земель населеного пункту </w:t>
      </w:r>
      <w:r w:rsidR="001E2AB8">
        <w:rPr>
          <w:sz w:val="28"/>
          <w:szCs w:val="28"/>
        </w:rPr>
        <w:t>села Лютіж</w:t>
      </w:r>
      <w:r w:rsidR="001E2AB8" w:rsidRPr="00F96072">
        <w:rPr>
          <w:sz w:val="28"/>
          <w:szCs w:val="28"/>
        </w:rPr>
        <w:t xml:space="preserve"> </w:t>
      </w:r>
      <w:r w:rsidR="001E2AB8">
        <w:rPr>
          <w:sz w:val="28"/>
          <w:szCs w:val="28"/>
        </w:rPr>
        <w:t>Вишгородського</w:t>
      </w:r>
      <w:r w:rsidR="001E2AB8" w:rsidRPr="00F96072">
        <w:rPr>
          <w:sz w:val="28"/>
          <w:szCs w:val="28"/>
        </w:rPr>
        <w:t xml:space="preserve"> району Київської області»</w:t>
      </w:r>
      <w:r w:rsidR="001E2AB8">
        <w:rPr>
          <w:sz w:val="28"/>
          <w:szCs w:val="28"/>
        </w:rPr>
        <w:t xml:space="preserve"> </w:t>
      </w:r>
      <w:r w:rsidRPr="001E2AB8">
        <w:rPr>
          <w:color w:val="000000"/>
          <w:sz w:val="28"/>
          <w:szCs w:val="28"/>
          <w:bdr w:val="none" w:sz="0" w:space="0" w:color="auto" w:frame="1"/>
        </w:rPr>
        <w:t>підготовлено на виконання норм Закону України «Про засади державної регуляторної політики у сфері господарської діяльності», відповідно до Методики проведення аналізу впливу регуляторного акту та Методики відстеження результативності регуляторного акта, затверджених постановою Кабінету Міністрів України від 11.03.2004р. № 308.</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Відповідно до статті 18 Закону України «Про оцінку земель» нормативна грошова оцінка земельних ділянок, розташованих у межах населених пунктів, незалежно від їх цільового призначення, проводиться не рідше одного разу на 5–7 років.</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Запровадження з 01.01.202</w:t>
      </w:r>
      <w:r w:rsidR="001E2AB8">
        <w:rPr>
          <w:color w:val="000000"/>
          <w:sz w:val="28"/>
          <w:szCs w:val="28"/>
          <w:bdr w:val="none" w:sz="0" w:space="0" w:color="auto" w:frame="1"/>
        </w:rPr>
        <w:t>6</w:t>
      </w:r>
      <w:r w:rsidRPr="001E2AB8">
        <w:rPr>
          <w:color w:val="000000"/>
          <w:sz w:val="28"/>
          <w:szCs w:val="28"/>
          <w:bdr w:val="none" w:sz="0" w:space="0" w:color="auto" w:frame="1"/>
        </w:rPr>
        <w:t xml:space="preserve"> року нової нормативної грошової оцінки земель населеного пункту </w:t>
      </w:r>
      <w:r w:rsidR="001E2AB8">
        <w:rPr>
          <w:color w:val="000000"/>
          <w:sz w:val="28"/>
          <w:szCs w:val="28"/>
          <w:bdr w:val="none" w:sz="0" w:space="0" w:color="auto" w:frame="1"/>
        </w:rPr>
        <w:t>села Лютіж Вишгородського</w:t>
      </w:r>
      <w:r w:rsidRPr="001E2AB8">
        <w:rPr>
          <w:color w:val="000000"/>
          <w:sz w:val="28"/>
          <w:szCs w:val="28"/>
          <w:bdr w:val="none" w:sz="0" w:space="0" w:color="auto" w:frame="1"/>
        </w:rPr>
        <w:t xml:space="preserve"> району Київської області обумовлене необхідністю дотримання строків проведення такої оцінки, визначених чинним законодавством України.</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 xml:space="preserve">Прийняття </w:t>
      </w:r>
      <w:r w:rsidR="001E2AB8">
        <w:rPr>
          <w:color w:val="000000"/>
          <w:sz w:val="28"/>
          <w:szCs w:val="28"/>
          <w:bdr w:val="none" w:sz="0" w:space="0" w:color="auto" w:frame="1"/>
        </w:rPr>
        <w:t xml:space="preserve">Петрівською сільською </w:t>
      </w:r>
      <w:r w:rsidRPr="001E2AB8">
        <w:rPr>
          <w:color w:val="000000"/>
          <w:sz w:val="28"/>
          <w:szCs w:val="28"/>
          <w:bdr w:val="none" w:sz="0" w:space="0" w:color="auto" w:frame="1"/>
        </w:rPr>
        <w:t xml:space="preserve">радою </w:t>
      </w:r>
      <w:r w:rsidR="001E2AB8">
        <w:rPr>
          <w:color w:val="000000"/>
          <w:sz w:val="28"/>
          <w:szCs w:val="28"/>
          <w:bdr w:val="none" w:sz="0" w:space="0" w:color="auto" w:frame="1"/>
        </w:rPr>
        <w:t>Вишгородського</w:t>
      </w:r>
      <w:r w:rsidRPr="001E2AB8">
        <w:rPr>
          <w:color w:val="000000"/>
          <w:sz w:val="28"/>
          <w:szCs w:val="28"/>
          <w:bdr w:val="none" w:sz="0" w:space="0" w:color="auto" w:frame="1"/>
        </w:rPr>
        <w:t xml:space="preserve"> району Київської області рішення «</w:t>
      </w:r>
      <w:r w:rsidR="001E2AB8" w:rsidRPr="00F96072">
        <w:rPr>
          <w:sz w:val="28"/>
          <w:szCs w:val="28"/>
        </w:rPr>
        <w:t xml:space="preserve">Про затвердження технічної документації з нормативної грошової оцінки земель населеного пункту </w:t>
      </w:r>
      <w:r w:rsidR="001E2AB8">
        <w:rPr>
          <w:sz w:val="28"/>
          <w:szCs w:val="28"/>
        </w:rPr>
        <w:t>села Лютіж</w:t>
      </w:r>
      <w:r w:rsidR="001E2AB8" w:rsidRPr="00F96072">
        <w:rPr>
          <w:sz w:val="28"/>
          <w:szCs w:val="28"/>
        </w:rPr>
        <w:t xml:space="preserve"> </w:t>
      </w:r>
      <w:r w:rsidR="001E2AB8">
        <w:rPr>
          <w:sz w:val="28"/>
          <w:szCs w:val="28"/>
        </w:rPr>
        <w:t>Вишгородського</w:t>
      </w:r>
      <w:r w:rsidR="001E2AB8" w:rsidRPr="00F96072">
        <w:rPr>
          <w:sz w:val="28"/>
          <w:szCs w:val="28"/>
        </w:rPr>
        <w:t xml:space="preserve"> району Київської області»</w:t>
      </w:r>
      <w:r w:rsidRPr="001E2AB8">
        <w:rPr>
          <w:color w:val="000000"/>
          <w:sz w:val="28"/>
          <w:szCs w:val="28"/>
          <w:bdr w:val="none" w:sz="0" w:space="0" w:color="auto" w:frame="1"/>
        </w:rPr>
        <w:t xml:space="preserve"> спрямоване на розв’язання проблем, пов’язаних з необхідністю обчислення земельного податку, визначення розмірів орендної плати, державного мита, стимулювання ефективного використання землі на засадах ринкової економіки, визначення ринкової вартості земельних ділянок, створення сприятливих рівних умов для діяльності суб’єктів господарювання шляхом визначення економіко-планувальних зон і факторів, що враховують розташування земельних ділянок, залежність рентного доходу від місцезнаходження населеного пункту в загальнодержавній, регіональній і місцевій системах виробництва та функціонального використання земельної ділянки.</w:t>
      </w:r>
    </w:p>
    <w:p w:rsidR="00A71A1F" w:rsidRDefault="00A71A1F" w:rsidP="00A71A1F">
      <w:pPr>
        <w:pStyle w:val="a3"/>
        <w:shd w:val="clear" w:color="auto" w:fill="FFFFFF"/>
        <w:spacing w:before="0" w:beforeAutospacing="0" w:after="0" w:afterAutospacing="0"/>
        <w:ind w:firstLine="709"/>
        <w:jc w:val="both"/>
        <w:rPr>
          <w:b/>
          <w:sz w:val="28"/>
          <w:szCs w:val="28"/>
        </w:rPr>
      </w:pPr>
      <w:r>
        <w:rPr>
          <w:b/>
          <w:sz w:val="28"/>
          <w:szCs w:val="28"/>
        </w:rPr>
        <w:t xml:space="preserve">Регуляторний орган: </w:t>
      </w:r>
      <w:r>
        <w:rPr>
          <w:sz w:val="28"/>
          <w:szCs w:val="28"/>
        </w:rPr>
        <w:t>Петрівська сільська рада</w:t>
      </w:r>
      <w:r>
        <w:rPr>
          <w:sz w:val="28"/>
          <w:szCs w:val="28"/>
        </w:rPr>
        <w:t>.</w:t>
      </w:r>
      <w:r>
        <w:rPr>
          <w:b/>
          <w:sz w:val="28"/>
          <w:szCs w:val="28"/>
        </w:rPr>
        <w:t xml:space="preserve"> </w:t>
      </w:r>
    </w:p>
    <w:p w:rsidR="003A0374" w:rsidRPr="00A71A1F" w:rsidRDefault="00A71A1F" w:rsidP="00A71A1F">
      <w:pPr>
        <w:pStyle w:val="a3"/>
        <w:shd w:val="clear" w:color="auto" w:fill="FFFFFF"/>
        <w:spacing w:before="0" w:beforeAutospacing="0" w:after="0" w:afterAutospacing="0"/>
        <w:ind w:firstLine="709"/>
        <w:jc w:val="both"/>
        <w:rPr>
          <w:color w:val="000000"/>
          <w:sz w:val="28"/>
          <w:szCs w:val="28"/>
          <w:bdr w:val="none" w:sz="0" w:space="0" w:color="auto" w:frame="1"/>
        </w:rPr>
      </w:pPr>
      <w:r>
        <w:rPr>
          <w:b/>
          <w:sz w:val="28"/>
          <w:szCs w:val="28"/>
        </w:rPr>
        <w:t>Розробник проекту:</w:t>
      </w:r>
      <w:r>
        <w:rPr>
          <w:color w:val="000000"/>
          <w:sz w:val="28"/>
          <w:szCs w:val="28"/>
          <w:bdr w:val="none" w:sz="0" w:space="0" w:color="auto" w:frame="1"/>
        </w:rPr>
        <w:t xml:space="preserve"> В</w:t>
      </w:r>
      <w:r w:rsidR="003A0374" w:rsidRPr="001E2AB8">
        <w:rPr>
          <w:color w:val="000000"/>
          <w:sz w:val="28"/>
          <w:szCs w:val="28"/>
          <w:bdr w:val="none" w:sz="0" w:space="0" w:color="auto" w:frame="1"/>
        </w:rPr>
        <w:t xml:space="preserve">ідділ </w:t>
      </w:r>
      <w:r w:rsidR="001E2AB8">
        <w:rPr>
          <w:color w:val="000000"/>
          <w:sz w:val="28"/>
          <w:szCs w:val="28"/>
          <w:bdr w:val="none" w:sz="0" w:space="0" w:color="auto" w:frame="1"/>
        </w:rPr>
        <w:t>з питань архітектури та земельних відносин Петрівської сільської ради Вишгородського</w:t>
      </w:r>
      <w:r w:rsidR="003A0374" w:rsidRPr="001E2AB8">
        <w:rPr>
          <w:color w:val="000000"/>
          <w:sz w:val="28"/>
          <w:szCs w:val="28"/>
          <w:bdr w:val="none" w:sz="0" w:space="0" w:color="auto" w:frame="1"/>
        </w:rPr>
        <w:t xml:space="preserve"> району Київської області.</w:t>
      </w:r>
    </w:p>
    <w:p w:rsidR="00A71A1F" w:rsidRPr="001E2AB8" w:rsidRDefault="00A71A1F" w:rsidP="00A71A1F">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Проект регуляторного акта разом із відповідним аналізом регуляторного впливу буде оприлюднений відповідно до вимог статті 13 Закону України «Про засади державної регуляторної політики у сфері господарської діяльності».</w:t>
      </w:r>
    </w:p>
    <w:p w:rsidR="00A71A1F" w:rsidRDefault="00A71A1F" w:rsidP="00A71A1F">
      <w:pPr>
        <w:pStyle w:val="a6"/>
        <w:jc w:val="both"/>
        <w:rPr>
          <w:sz w:val="28"/>
          <w:szCs w:val="28"/>
        </w:rPr>
      </w:pPr>
      <w:r>
        <w:rPr>
          <w:b/>
          <w:sz w:val="28"/>
          <w:szCs w:val="28"/>
        </w:rPr>
        <w:lastRenderedPageBreak/>
        <w:t xml:space="preserve">Аналіз регуляторного впливу та проект рішення оприлюднюється: </w:t>
      </w:r>
      <w:r>
        <w:rPr>
          <w:sz w:val="28"/>
          <w:szCs w:val="28"/>
        </w:rPr>
        <w:t xml:space="preserve">на офіційному веб-сайті Петрівської сільської ради: </w:t>
      </w:r>
      <w:hyperlink r:id="rId5" w:history="1">
        <w:r w:rsidRPr="003B363E">
          <w:rPr>
            <w:rStyle w:val="a5"/>
            <w:sz w:val="28"/>
            <w:szCs w:val="28"/>
            <w:bdr w:val="none" w:sz="0" w:space="0" w:color="auto" w:frame="1"/>
          </w:rPr>
          <w:t>http://petrivtsi-rada.gov.ua</w:t>
        </w:r>
      </w:hyperlink>
      <w:r w:rsidRPr="00A71A1F">
        <w:rPr>
          <w:rStyle w:val="a5"/>
          <w:sz w:val="28"/>
          <w:szCs w:val="28"/>
          <w:u w:val="none"/>
          <w:bdr w:val="none" w:sz="0" w:space="0" w:color="auto" w:frame="1"/>
        </w:rPr>
        <w:t xml:space="preserve"> </w:t>
      </w:r>
      <w:r>
        <w:rPr>
          <w:sz w:val="28"/>
          <w:szCs w:val="28"/>
        </w:rPr>
        <w:t>на сторінці «Регуляторна політика».</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Зауваження і пропозиції</w:t>
      </w:r>
      <w:r w:rsidR="0096173E">
        <w:rPr>
          <w:color w:val="000000"/>
          <w:sz w:val="28"/>
          <w:szCs w:val="28"/>
          <w:bdr w:val="none" w:sz="0" w:space="0" w:color="auto" w:frame="1"/>
        </w:rPr>
        <w:t xml:space="preserve"> </w:t>
      </w:r>
      <w:r w:rsidRPr="001E2AB8">
        <w:rPr>
          <w:color w:val="000000"/>
          <w:sz w:val="28"/>
          <w:szCs w:val="28"/>
          <w:bdr w:val="none" w:sz="0" w:space="0" w:color="auto" w:frame="1"/>
        </w:rPr>
        <w:t xml:space="preserve">до проекту рішення </w:t>
      </w:r>
      <w:r w:rsidR="0096173E">
        <w:rPr>
          <w:color w:val="000000"/>
          <w:sz w:val="28"/>
          <w:szCs w:val="28"/>
          <w:bdr w:val="none" w:sz="0" w:space="0" w:color="auto" w:frame="1"/>
        </w:rPr>
        <w:t>Петрівської сільської ради</w:t>
      </w:r>
      <w:r w:rsidRPr="001E2AB8">
        <w:rPr>
          <w:color w:val="000000"/>
          <w:sz w:val="28"/>
          <w:szCs w:val="28"/>
          <w:bdr w:val="none" w:sz="0" w:space="0" w:color="auto" w:frame="1"/>
        </w:rPr>
        <w:t xml:space="preserve"> </w:t>
      </w:r>
      <w:r w:rsidR="0096173E" w:rsidRPr="0096173E">
        <w:rPr>
          <w:color w:val="000000"/>
          <w:sz w:val="28"/>
          <w:szCs w:val="28"/>
          <w:bdr w:val="none" w:sz="0" w:space="0" w:color="auto" w:frame="1"/>
        </w:rPr>
        <w:t>«Про затвердження технічної документації з нормативної грошової оцінки земель населеного пункту села Лютіж Вишгородського району Київської області»</w:t>
      </w:r>
      <w:r w:rsidRPr="001E2AB8">
        <w:rPr>
          <w:color w:val="000000"/>
          <w:sz w:val="28"/>
          <w:szCs w:val="28"/>
          <w:bdr w:val="none" w:sz="0" w:space="0" w:color="auto" w:frame="1"/>
        </w:rPr>
        <w:t xml:space="preserve"> приймаються в письмовому або електронному вигляді протягом одного календарного місяця з дня його опублікування на адресу </w:t>
      </w:r>
      <w:r w:rsidR="0096173E">
        <w:rPr>
          <w:color w:val="000000"/>
          <w:sz w:val="28"/>
          <w:szCs w:val="28"/>
          <w:bdr w:val="none" w:sz="0" w:space="0" w:color="auto" w:frame="1"/>
        </w:rPr>
        <w:t>Петрівської сільської ради</w:t>
      </w:r>
      <w:r w:rsidRPr="001E2AB8">
        <w:rPr>
          <w:rStyle w:val="a4"/>
          <w:color w:val="000000"/>
          <w:sz w:val="28"/>
          <w:szCs w:val="28"/>
          <w:bdr w:val="none" w:sz="0" w:space="0" w:color="auto" w:frame="1"/>
        </w:rPr>
        <w:t xml:space="preserve">: вул. </w:t>
      </w:r>
      <w:proofErr w:type="spellStart"/>
      <w:r w:rsidR="0096173E">
        <w:rPr>
          <w:rStyle w:val="a4"/>
          <w:color w:val="000000"/>
          <w:sz w:val="28"/>
          <w:szCs w:val="28"/>
          <w:bdr w:val="none" w:sz="0" w:space="0" w:color="auto" w:frame="1"/>
        </w:rPr>
        <w:t>Свято-Покоровська</w:t>
      </w:r>
      <w:proofErr w:type="spellEnd"/>
      <w:r w:rsidRPr="001E2AB8">
        <w:rPr>
          <w:rStyle w:val="a4"/>
          <w:color w:val="000000"/>
          <w:sz w:val="28"/>
          <w:szCs w:val="28"/>
          <w:bdr w:val="none" w:sz="0" w:space="0" w:color="auto" w:frame="1"/>
        </w:rPr>
        <w:t xml:space="preserve">, </w:t>
      </w:r>
      <w:r w:rsidR="0096173E">
        <w:rPr>
          <w:rStyle w:val="a4"/>
          <w:color w:val="000000"/>
          <w:sz w:val="28"/>
          <w:szCs w:val="28"/>
          <w:bdr w:val="none" w:sz="0" w:space="0" w:color="auto" w:frame="1"/>
        </w:rPr>
        <w:t>171</w:t>
      </w:r>
      <w:r w:rsidRPr="001E2AB8">
        <w:rPr>
          <w:rStyle w:val="a4"/>
          <w:color w:val="000000"/>
          <w:sz w:val="28"/>
          <w:szCs w:val="28"/>
          <w:bdr w:val="none" w:sz="0" w:space="0" w:color="auto" w:frame="1"/>
        </w:rPr>
        <w:t xml:space="preserve">, </w:t>
      </w:r>
      <w:r w:rsidR="0096173E">
        <w:rPr>
          <w:rStyle w:val="a4"/>
          <w:color w:val="000000"/>
          <w:sz w:val="28"/>
          <w:szCs w:val="28"/>
          <w:bdr w:val="none" w:sz="0" w:space="0" w:color="auto" w:frame="1"/>
        </w:rPr>
        <w:t>с</w:t>
      </w:r>
      <w:r w:rsidRPr="001E2AB8">
        <w:rPr>
          <w:rStyle w:val="a4"/>
          <w:color w:val="000000"/>
          <w:sz w:val="28"/>
          <w:szCs w:val="28"/>
          <w:bdr w:val="none" w:sz="0" w:space="0" w:color="auto" w:frame="1"/>
        </w:rPr>
        <w:t xml:space="preserve">. </w:t>
      </w:r>
      <w:r w:rsidR="0096173E">
        <w:rPr>
          <w:rStyle w:val="a4"/>
          <w:color w:val="000000"/>
          <w:sz w:val="28"/>
          <w:szCs w:val="28"/>
          <w:bdr w:val="none" w:sz="0" w:space="0" w:color="auto" w:frame="1"/>
        </w:rPr>
        <w:t>Нові Петрівці</w:t>
      </w:r>
      <w:r w:rsidRPr="001E2AB8">
        <w:rPr>
          <w:rStyle w:val="a4"/>
          <w:color w:val="000000"/>
          <w:sz w:val="28"/>
          <w:szCs w:val="28"/>
          <w:bdr w:val="none" w:sz="0" w:space="0" w:color="auto" w:frame="1"/>
        </w:rPr>
        <w:t xml:space="preserve">, Київська обл., </w:t>
      </w:r>
      <w:r w:rsidR="0096173E">
        <w:rPr>
          <w:rStyle w:val="a4"/>
          <w:color w:val="000000"/>
          <w:sz w:val="28"/>
          <w:szCs w:val="28"/>
          <w:bdr w:val="none" w:sz="0" w:space="0" w:color="auto" w:frame="1"/>
        </w:rPr>
        <w:t>07354</w:t>
      </w:r>
      <w:r w:rsidRPr="001E2AB8">
        <w:rPr>
          <w:rStyle w:val="a4"/>
          <w:color w:val="000000"/>
          <w:sz w:val="28"/>
          <w:szCs w:val="28"/>
          <w:bdr w:val="none" w:sz="0" w:space="0" w:color="auto" w:frame="1"/>
        </w:rPr>
        <w:t>. </w:t>
      </w:r>
      <w:r w:rsidRPr="001E2AB8">
        <w:rPr>
          <w:color w:val="000000"/>
          <w:sz w:val="28"/>
          <w:szCs w:val="28"/>
          <w:bdr w:val="none" w:sz="0" w:space="0" w:color="auto" w:frame="1"/>
        </w:rPr>
        <w:t>E-</w:t>
      </w:r>
      <w:proofErr w:type="spellStart"/>
      <w:r w:rsidRPr="001E2AB8">
        <w:rPr>
          <w:color w:val="000000"/>
          <w:sz w:val="28"/>
          <w:szCs w:val="28"/>
          <w:bdr w:val="none" w:sz="0" w:space="0" w:color="auto" w:frame="1"/>
        </w:rPr>
        <w:t>mail</w:t>
      </w:r>
      <w:proofErr w:type="spellEnd"/>
      <w:r w:rsidRPr="001E2AB8">
        <w:rPr>
          <w:color w:val="000000"/>
          <w:sz w:val="28"/>
          <w:szCs w:val="28"/>
          <w:bdr w:val="none" w:sz="0" w:space="0" w:color="auto" w:frame="1"/>
        </w:rPr>
        <w:t>:</w:t>
      </w:r>
      <w:proofErr w:type="spellStart"/>
      <w:r w:rsidRPr="001E2AB8">
        <w:rPr>
          <w:color w:val="000000"/>
          <w:sz w:val="28"/>
          <w:szCs w:val="28"/>
          <w:bdr w:val="none" w:sz="0" w:space="0" w:color="auto" w:frame="1"/>
        </w:rPr>
        <w:t> </w:t>
      </w:r>
      <w:hyperlink r:id="rId6" w:history="1">
        <w:r w:rsidR="0096173E" w:rsidRPr="003B363E">
          <w:rPr>
            <w:rStyle w:val="a5"/>
            <w:sz w:val="28"/>
            <w:szCs w:val="28"/>
            <w:bdr w:val="none" w:sz="0" w:space="0" w:color="auto" w:frame="1"/>
          </w:rPr>
          <w:t>do</w:t>
        </w:r>
        <w:proofErr w:type="spellEnd"/>
        <w:r w:rsidR="0096173E" w:rsidRPr="003B363E">
          <w:rPr>
            <w:rStyle w:val="a5"/>
            <w:sz w:val="28"/>
            <w:szCs w:val="28"/>
            <w:bdr w:val="none" w:sz="0" w:space="0" w:color="auto" w:frame="1"/>
          </w:rPr>
          <w:t>c@petrivtsi-rada.gov.ua</w:t>
        </w:r>
      </w:hyperlink>
      <w:r w:rsidR="0096173E">
        <w:rPr>
          <w:color w:val="000000"/>
          <w:sz w:val="28"/>
          <w:szCs w:val="28"/>
          <w:bdr w:val="none" w:sz="0" w:space="0" w:color="auto" w:frame="1"/>
        </w:rPr>
        <w:t xml:space="preserve"> та </w:t>
      </w:r>
      <w:r w:rsidR="0096173E" w:rsidRPr="0096173E">
        <w:rPr>
          <w:color w:val="000000"/>
          <w:sz w:val="28"/>
          <w:szCs w:val="28"/>
          <w:bdr w:val="none" w:sz="0" w:space="0" w:color="auto" w:frame="1"/>
        </w:rPr>
        <w:t>0459646086@ukr.net</w:t>
      </w:r>
      <w:r w:rsidR="00A71A1F">
        <w:rPr>
          <w:color w:val="000000"/>
          <w:sz w:val="28"/>
          <w:szCs w:val="28"/>
          <w:bdr w:val="none" w:sz="0" w:space="0" w:color="auto" w:frame="1"/>
        </w:rPr>
        <w:t>.</w:t>
      </w:r>
      <w:bookmarkStart w:id="0" w:name="_GoBack"/>
      <w:bookmarkEnd w:id="0"/>
    </w:p>
    <w:sectPr w:rsidR="003A0374" w:rsidRPr="001E2A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EB3"/>
    <w:rsid w:val="001E2AB8"/>
    <w:rsid w:val="00213651"/>
    <w:rsid w:val="00306E76"/>
    <w:rsid w:val="003A0374"/>
    <w:rsid w:val="00406A33"/>
    <w:rsid w:val="00565734"/>
    <w:rsid w:val="0096173E"/>
    <w:rsid w:val="00A71A1F"/>
    <w:rsid w:val="00B24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03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3A0374"/>
    <w:rPr>
      <w:b/>
      <w:bCs/>
    </w:rPr>
  </w:style>
  <w:style w:type="character" w:styleId="a5">
    <w:name w:val="Hyperlink"/>
    <w:basedOn w:val="a0"/>
    <w:uiPriority w:val="99"/>
    <w:unhideWhenUsed/>
    <w:rsid w:val="003A0374"/>
    <w:rPr>
      <w:color w:val="0000FF"/>
      <w:u w:val="single"/>
    </w:rPr>
  </w:style>
  <w:style w:type="paragraph" w:styleId="a6">
    <w:name w:val="Body Text"/>
    <w:basedOn w:val="a"/>
    <w:link w:val="a7"/>
    <w:semiHidden/>
    <w:unhideWhenUsed/>
    <w:rsid w:val="00A71A1F"/>
    <w:pPr>
      <w:spacing w:after="0" w:line="240" w:lineRule="auto"/>
    </w:pPr>
    <w:rPr>
      <w:rFonts w:ascii="Times New Roman" w:eastAsia="Times New Roman" w:hAnsi="Times New Roman" w:cs="Times New Roman"/>
      <w:sz w:val="26"/>
      <w:szCs w:val="20"/>
      <w:lang w:eastAsia="ru-RU"/>
    </w:rPr>
  </w:style>
  <w:style w:type="character" w:customStyle="1" w:styleId="a7">
    <w:name w:val="Основной текст Знак"/>
    <w:basedOn w:val="a0"/>
    <w:link w:val="a6"/>
    <w:semiHidden/>
    <w:rsid w:val="00A71A1F"/>
    <w:rPr>
      <w:rFonts w:ascii="Times New Roman" w:eastAsia="Times New Roman" w:hAnsi="Times New Roman" w:cs="Times New Roman"/>
      <w:sz w:val="26"/>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03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3A0374"/>
    <w:rPr>
      <w:b/>
      <w:bCs/>
    </w:rPr>
  </w:style>
  <w:style w:type="character" w:styleId="a5">
    <w:name w:val="Hyperlink"/>
    <w:basedOn w:val="a0"/>
    <w:uiPriority w:val="99"/>
    <w:unhideWhenUsed/>
    <w:rsid w:val="003A0374"/>
    <w:rPr>
      <w:color w:val="0000FF"/>
      <w:u w:val="single"/>
    </w:rPr>
  </w:style>
  <w:style w:type="paragraph" w:styleId="a6">
    <w:name w:val="Body Text"/>
    <w:basedOn w:val="a"/>
    <w:link w:val="a7"/>
    <w:semiHidden/>
    <w:unhideWhenUsed/>
    <w:rsid w:val="00A71A1F"/>
    <w:pPr>
      <w:spacing w:after="0" w:line="240" w:lineRule="auto"/>
    </w:pPr>
    <w:rPr>
      <w:rFonts w:ascii="Times New Roman" w:eastAsia="Times New Roman" w:hAnsi="Times New Roman" w:cs="Times New Roman"/>
      <w:sz w:val="26"/>
      <w:szCs w:val="20"/>
      <w:lang w:eastAsia="ru-RU"/>
    </w:rPr>
  </w:style>
  <w:style w:type="character" w:customStyle="1" w:styleId="a7">
    <w:name w:val="Основной текст Знак"/>
    <w:basedOn w:val="a0"/>
    <w:link w:val="a6"/>
    <w:semiHidden/>
    <w:rsid w:val="00A71A1F"/>
    <w:rPr>
      <w:rFonts w:ascii="Times New Roman" w:eastAsia="Times New Roman" w:hAnsi="Times New Roman"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403132">
      <w:bodyDiv w:val="1"/>
      <w:marLeft w:val="0"/>
      <w:marRight w:val="0"/>
      <w:marTop w:val="0"/>
      <w:marBottom w:val="0"/>
      <w:divBdr>
        <w:top w:val="none" w:sz="0" w:space="0" w:color="auto"/>
        <w:left w:val="none" w:sz="0" w:space="0" w:color="auto"/>
        <w:bottom w:val="none" w:sz="0" w:space="0" w:color="auto"/>
        <w:right w:val="none" w:sz="0" w:space="0" w:color="auto"/>
      </w:divBdr>
    </w:div>
    <w:div w:id="1848710429">
      <w:bodyDiv w:val="1"/>
      <w:marLeft w:val="0"/>
      <w:marRight w:val="0"/>
      <w:marTop w:val="0"/>
      <w:marBottom w:val="0"/>
      <w:divBdr>
        <w:top w:val="none" w:sz="0" w:space="0" w:color="auto"/>
        <w:left w:val="none" w:sz="0" w:space="0" w:color="auto"/>
        <w:bottom w:val="none" w:sz="0" w:space="0" w:color="auto"/>
        <w:right w:val="none" w:sz="0" w:space="0" w:color="auto"/>
      </w:divBdr>
    </w:div>
    <w:div w:id="188497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oc@petrivtsi-rada.gov.ua" TargetMode="External"/><Relationship Id="rId5" Type="http://schemas.openxmlformats.org/officeDocument/2006/relationships/hyperlink" Target="http://petrivtsi-rada.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2107</Words>
  <Characters>1201</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4</cp:revision>
  <dcterms:created xsi:type="dcterms:W3CDTF">2025-05-26T09:10:00Z</dcterms:created>
  <dcterms:modified xsi:type="dcterms:W3CDTF">2025-05-26T09:28:00Z</dcterms:modified>
</cp:coreProperties>
</file>