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20" w:rsidRPr="00DD4663" w:rsidRDefault="00B13B20" w:rsidP="00B13B20">
      <w:pPr>
        <w:spacing w:after="0" w:line="240" w:lineRule="auto"/>
        <w:jc w:val="center"/>
        <w:rPr>
          <w:rFonts w:ascii="Times New Roman" w:hAnsi="Times New Roman" w:cs="Times New Roman"/>
          <w:b/>
          <w:sz w:val="28"/>
          <w:szCs w:val="28"/>
        </w:rPr>
      </w:pPr>
      <w:r w:rsidRPr="00DD4663">
        <w:rPr>
          <w:rFonts w:ascii="Times New Roman" w:hAnsi="Times New Roman" w:cs="Times New Roman"/>
          <w:b/>
          <w:sz w:val="28"/>
          <w:szCs w:val="28"/>
        </w:rPr>
        <w:t>Аналіз регуляторного впливу</w:t>
      </w:r>
    </w:p>
    <w:p w:rsidR="00F96072" w:rsidRDefault="00F96072" w:rsidP="00F96072">
      <w:pPr>
        <w:spacing w:after="0" w:line="240" w:lineRule="auto"/>
        <w:jc w:val="center"/>
        <w:rPr>
          <w:rFonts w:ascii="Times New Roman" w:hAnsi="Times New Roman" w:cs="Times New Roman"/>
          <w:b/>
          <w:sz w:val="28"/>
          <w:szCs w:val="28"/>
        </w:rPr>
      </w:pPr>
      <w:r w:rsidRPr="00F96072">
        <w:rPr>
          <w:rFonts w:ascii="Times New Roman" w:hAnsi="Times New Roman" w:cs="Times New Roman"/>
          <w:b/>
          <w:sz w:val="28"/>
          <w:szCs w:val="28"/>
        </w:rPr>
        <w:t xml:space="preserve">проекту рішення </w:t>
      </w:r>
      <w:r>
        <w:rPr>
          <w:rFonts w:ascii="Times New Roman" w:hAnsi="Times New Roman" w:cs="Times New Roman"/>
          <w:b/>
          <w:sz w:val="28"/>
          <w:szCs w:val="28"/>
        </w:rPr>
        <w:t>Петрівської</w:t>
      </w:r>
      <w:r w:rsidRPr="00F96072">
        <w:rPr>
          <w:rFonts w:ascii="Times New Roman" w:hAnsi="Times New Roman" w:cs="Times New Roman"/>
          <w:b/>
          <w:sz w:val="28"/>
          <w:szCs w:val="28"/>
        </w:rPr>
        <w:t xml:space="preserve"> </w:t>
      </w:r>
      <w:r>
        <w:rPr>
          <w:rFonts w:ascii="Times New Roman" w:hAnsi="Times New Roman" w:cs="Times New Roman"/>
          <w:b/>
          <w:sz w:val="28"/>
          <w:szCs w:val="28"/>
        </w:rPr>
        <w:t xml:space="preserve">сільської </w:t>
      </w:r>
      <w:r w:rsidRPr="00F96072">
        <w:rPr>
          <w:rFonts w:ascii="Times New Roman" w:hAnsi="Times New Roman" w:cs="Times New Roman"/>
          <w:b/>
          <w:sz w:val="28"/>
          <w:szCs w:val="28"/>
        </w:rPr>
        <w:t xml:space="preserve">ради </w:t>
      </w:r>
      <w:r>
        <w:rPr>
          <w:rFonts w:ascii="Times New Roman" w:hAnsi="Times New Roman" w:cs="Times New Roman"/>
          <w:b/>
          <w:sz w:val="28"/>
          <w:szCs w:val="28"/>
        </w:rPr>
        <w:t>Вишгородського району</w:t>
      </w:r>
      <w:r w:rsidRPr="00F96072">
        <w:rPr>
          <w:rFonts w:ascii="Times New Roman" w:hAnsi="Times New Roman" w:cs="Times New Roman"/>
          <w:b/>
          <w:sz w:val="28"/>
          <w:szCs w:val="28"/>
        </w:rPr>
        <w:t xml:space="preserve"> Київської області «Про затвердження технічної документації з нормативної грошової оцінки земель населеного пункту </w:t>
      </w:r>
      <w:r>
        <w:rPr>
          <w:rFonts w:ascii="Times New Roman" w:hAnsi="Times New Roman" w:cs="Times New Roman"/>
          <w:b/>
          <w:sz w:val="28"/>
          <w:szCs w:val="28"/>
        </w:rPr>
        <w:t>села</w:t>
      </w:r>
      <w:r w:rsidRPr="00F96072">
        <w:rPr>
          <w:rFonts w:ascii="Times New Roman" w:hAnsi="Times New Roman" w:cs="Times New Roman"/>
          <w:b/>
          <w:sz w:val="28"/>
          <w:szCs w:val="28"/>
        </w:rPr>
        <w:t xml:space="preserve"> </w:t>
      </w:r>
      <w:r w:rsidR="004B3EFE">
        <w:rPr>
          <w:rFonts w:ascii="Times New Roman" w:hAnsi="Times New Roman" w:cs="Times New Roman"/>
          <w:b/>
          <w:sz w:val="28"/>
          <w:szCs w:val="28"/>
        </w:rPr>
        <w:t>Гута-Межигірська</w:t>
      </w:r>
      <w:r w:rsidRPr="00F96072">
        <w:rPr>
          <w:rFonts w:ascii="Times New Roman" w:hAnsi="Times New Roman" w:cs="Times New Roman"/>
          <w:b/>
          <w:sz w:val="28"/>
          <w:szCs w:val="28"/>
        </w:rPr>
        <w:t xml:space="preserve"> </w:t>
      </w:r>
      <w:r>
        <w:rPr>
          <w:rFonts w:ascii="Times New Roman" w:hAnsi="Times New Roman" w:cs="Times New Roman"/>
          <w:b/>
          <w:sz w:val="28"/>
          <w:szCs w:val="28"/>
        </w:rPr>
        <w:t>Вишгородського</w:t>
      </w:r>
      <w:r w:rsidRPr="00F96072">
        <w:rPr>
          <w:rFonts w:ascii="Times New Roman" w:hAnsi="Times New Roman" w:cs="Times New Roman"/>
          <w:b/>
          <w:sz w:val="28"/>
          <w:szCs w:val="28"/>
        </w:rPr>
        <w:t xml:space="preserve"> району Київської області»</w:t>
      </w:r>
    </w:p>
    <w:p w:rsidR="00F96072" w:rsidRPr="00F96072" w:rsidRDefault="00F96072" w:rsidP="00F96072">
      <w:pPr>
        <w:spacing w:after="0" w:line="240" w:lineRule="auto"/>
        <w:jc w:val="center"/>
        <w:rPr>
          <w:rFonts w:ascii="Times New Roman" w:hAnsi="Times New Roman" w:cs="Times New Roman"/>
          <w:b/>
          <w:sz w:val="28"/>
          <w:szCs w:val="28"/>
        </w:rPr>
      </w:pPr>
    </w:p>
    <w:p w:rsidR="00F96072" w:rsidRDefault="00F96072" w:rsidP="00F96072">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Аналіз регуляторного впливу проекту рішення </w:t>
      </w:r>
      <w:r>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земель населеного пункту села </w:t>
      </w:r>
      <w:r w:rsidR="004B3EFE">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Вишгородського району Київської області» підготовлено згідно з вимогами ст.ст. 12, 271, 274, 289 Податкового кодексу України, ст.ст. 12, 201 Земельного кодексу України, ст.ст. 5, 6, 13, 15, 18, 20, 23 Закону України «Про оцінку земель», ч. 7 ст. 21 Закону України «Про Державний земельний кадастр», Закону України «Про засади державної регуляторної політики у сфері господарської діяльності»,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 пункту 24 частини першої статті 26 Закону України «Про місцеве самоврядування в Україні». </w:t>
      </w:r>
    </w:p>
    <w:p w:rsidR="00F96072" w:rsidRDefault="00F96072" w:rsidP="00F96072">
      <w:pPr>
        <w:spacing w:after="0" w:line="240" w:lineRule="auto"/>
        <w:ind w:firstLine="708"/>
        <w:rPr>
          <w:rFonts w:ascii="Times New Roman" w:hAnsi="Times New Roman" w:cs="Times New Roman"/>
          <w:sz w:val="28"/>
          <w:szCs w:val="28"/>
        </w:rPr>
      </w:pPr>
    </w:p>
    <w:p w:rsidR="00F96072" w:rsidRP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Назва регуляторного акта</w:t>
      </w:r>
      <w:r w:rsidRPr="00F96072">
        <w:rPr>
          <w:rFonts w:ascii="Times New Roman" w:hAnsi="Times New Roman" w:cs="Times New Roman"/>
          <w:sz w:val="28"/>
          <w:szCs w:val="28"/>
        </w:rPr>
        <w:t xml:space="preserve">: проект рішення Петрівської сільської ради «Про затвердження технічної документації з нормативної грошової оцінки земель населеного пункту села </w:t>
      </w:r>
      <w:r w:rsidR="004B3EFE">
        <w:rPr>
          <w:rFonts w:ascii="Times New Roman" w:hAnsi="Times New Roman" w:cs="Times New Roman"/>
          <w:sz w:val="28"/>
          <w:szCs w:val="28"/>
        </w:rPr>
        <w:t xml:space="preserve">Гута-Межигірська </w:t>
      </w:r>
      <w:r w:rsidRPr="00F96072">
        <w:rPr>
          <w:rFonts w:ascii="Times New Roman" w:hAnsi="Times New Roman" w:cs="Times New Roman"/>
          <w:sz w:val="28"/>
          <w:szCs w:val="28"/>
        </w:rPr>
        <w:t xml:space="preserve"> Вишгородського Київської області».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Регуляторний орган</w:t>
      </w:r>
      <w:r w:rsidRPr="00F96072">
        <w:rPr>
          <w:rFonts w:ascii="Times New Roman" w:hAnsi="Times New Roman" w:cs="Times New Roman"/>
          <w:sz w:val="28"/>
          <w:szCs w:val="28"/>
        </w:rPr>
        <w:t xml:space="preserve">: </w:t>
      </w:r>
      <w:r>
        <w:rPr>
          <w:rFonts w:ascii="Times New Roman" w:hAnsi="Times New Roman" w:cs="Times New Roman"/>
          <w:sz w:val="28"/>
          <w:szCs w:val="28"/>
        </w:rPr>
        <w:t xml:space="preserve">Петрівська сільська </w:t>
      </w:r>
      <w:r w:rsidRPr="00F96072">
        <w:rPr>
          <w:rFonts w:ascii="Times New Roman" w:hAnsi="Times New Roman" w:cs="Times New Roman"/>
          <w:sz w:val="28"/>
          <w:szCs w:val="28"/>
        </w:rPr>
        <w:t xml:space="preserve">рада </w:t>
      </w:r>
      <w:r>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Розробник документа</w:t>
      </w:r>
      <w:r w:rsidRPr="00F96072">
        <w:rPr>
          <w:rFonts w:ascii="Times New Roman" w:hAnsi="Times New Roman" w:cs="Times New Roman"/>
          <w:sz w:val="28"/>
          <w:szCs w:val="28"/>
        </w:rPr>
        <w:t xml:space="preserve">: відділ </w:t>
      </w:r>
      <w:r>
        <w:rPr>
          <w:rFonts w:ascii="Times New Roman" w:hAnsi="Times New Roman" w:cs="Times New Roman"/>
          <w:sz w:val="28"/>
          <w:szCs w:val="28"/>
        </w:rPr>
        <w:t>з питань архітектури та земельних відносин Петрівської сільської ради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1. Визначення та аналіз проблеми, яку пропонується розв’язати шляхом регулювання господарських відносин, оцінка важливості цієї проблеми.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Практичне здійснення земельної реформи, упровадження приватної власності на земельні ділянки і платний характер використання землі вимагає створення економічного механізму регулювання земельних відносин, важливим елементом якого є оцінка землі.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Велике значення в створенні економічних принципів регулювання земельних відносин належить грошовій оцінці, що в умовах перехідного періоду до ринкової економіки дає можливість провести першочергову приватизацію земельних ділянок, створити об’єктивну основу для оподаткування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Прийняті на державному рівні ряд законодавчих актів про плату за землю, про оцінку земель, про приватизацію земельних ділянок дозволили ввести грошову оцінку у правове поле регулювання земельних відносин. </w:t>
      </w:r>
      <w:r w:rsidRPr="00F96072">
        <w:rPr>
          <w:rFonts w:ascii="Times New Roman" w:hAnsi="Times New Roman" w:cs="Times New Roman"/>
          <w:sz w:val="28"/>
          <w:szCs w:val="28"/>
        </w:rPr>
        <w:lastRenderedPageBreak/>
        <w:t xml:space="preserve">Грошова оцінка стає одним із ключових елементів у реалізації державної політики оподаткування і ціноутворення.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Сферу застосування грошової оцінки земель визначає Земельний кодекс України, Податковий кодекс України, Закон України «Про оцінку земель», Методика нормативної гро</w:t>
      </w:r>
      <w:r>
        <w:rPr>
          <w:rFonts w:ascii="Times New Roman" w:hAnsi="Times New Roman" w:cs="Times New Roman"/>
          <w:sz w:val="28"/>
          <w:szCs w:val="28"/>
        </w:rPr>
        <w:t>шової оцінки земельних ділянок.</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Грошова оцінка застосовується для економічного регулювання земельних відносин при складанні ці вільно-правових угод, передбачених чинним законодавством України. Нормативна грошова оцінка земельних ділянок використовується для: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земельного податку,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державного мита при міні, спадкуванні та даруванні земельних ділянок згідно із законом,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орендної плати за земельні ділянки державної та комунальної власності,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втрат лісогосподарського виробництва,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відчуження земельних ділянок площею понад 50 гектарів, що належать до державної або комунальної власності для відкритих спортивних і </w:t>
      </w:r>
      <w:proofErr w:type="spellStart"/>
      <w:r w:rsidRPr="00F96072">
        <w:rPr>
          <w:rFonts w:ascii="Times New Roman" w:hAnsi="Times New Roman" w:cs="Times New Roman"/>
          <w:sz w:val="28"/>
          <w:szCs w:val="28"/>
        </w:rPr>
        <w:t>фізкультурнооздоровчих</w:t>
      </w:r>
      <w:proofErr w:type="spellEnd"/>
      <w:r w:rsidRPr="00F96072">
        <w:rPr>
          <w:rFonts w:ascii="Times New Roman" w:hAnsi="Times New Roman" w:cs="Times New Roman"/>
          <w:sz w:val="28"/>
          <w:szCs w:val="28"/>
        </w:rPr>
        <w:t xml:space="preserve"> споруд,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Відповідно до статті 206 Земельного кодексу України використання землі в Україні є платним. Об’єктом плати за землю є земельна ділянка.</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 п. 14.1.72. ст. 14 Податкового кодексу України земельний податок - обов'язковий платіж, що справляється з власників земельних ділянок та земельних часток (паїв), а також постійних землекористувачів.</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зі статтею 201 Земельного кодексу України нормативна грошова оцінка земельних ділянок використовується для визначення розміру земельного податку, втрат лісогосподарського виробництва, економічного стимулювання раціонального використання та охорони земель тощо.</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 5 Закону України «Про оцінку земель» нормативна грошова оцінка земельних ділянок використовується для визначення розміру земельного податку, державного мита при міні, спадкуванні (крім випадків спадкування спадкоємцями першої та другої черги за законом (як випадків спадкування ними за законом, так і випадків спадкування ними за заповітом) і за правом представлення, а також випадків спадкування власності, вартість якої оподатковується за нульовою ставкою) та даруванні земельних ділянок згідно із законом, орендної плати за земельні ділянки державної та комунальної власності, втрат лісогосподарського виробництва, вартості земельних ділянок площею понад 50 гектарів для розміщення відкритих спортивних і фізкультурно-оздоровчих споруд, а також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Статтями 274 та 288 Податкового кодексу України визначено, що ставки земельного податку та розмір орендної плати встановлюються у відсотках від нормативної грошової оцінки земельних ділянок.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Податковим законодавством України не передбачено встановлення ставок земельного податку чи обчислення плати за землю на території населених пунктів без використання нормативної грошової оцінки земель як бази оподаткування. </w:t>
      </w:r>
    </w:p>
    <w:p w:rsidR="001437C0" w:rsidRPr="008C6632" w:rsidRDefault="00F96072" w:rsidP="004B3EFE">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 xml:space="preserve">Рішенням </w:t>
      </w:r>
      <w:r w:rsidR="004B3EFE">
        <w:rPr>
          <w:rFonts w:ascii="Times New Roman" w:hAnsi="Times New Roman" w:cs="Times New Roman"/>
          <w:sz w:val="28"/>
          <w:szCs w:val="28"/>
        </w:rPr>
        <w:t>сімдесят сьомої</w:t>
      </w:r>
      <w:r w:rsidR="008A1098" w:rsidRPr="008C6632">
        <w:rPr>
          <w:rFonts w:ascii="Times New Roman" w:hAnsi="Times New Roman" w:cs="Times New Roman"/>
          <w:sz w:val="28"/>
          <w:szCs w:val="28"/>
        </w:rPr>
        <w:t xml:space="preserve"> сесії</w:t>
      </w:r>
      <w:r w:rsidRPr="008C6632">
        <w:rPr>
          <w:rFonts w:ascii="Times New Roman" w:hAnsi="Times New Roman" w:cs="Times New Roman"/>
          <w:sz w:val="28"/>
          <w:szCs w:val="28"/>
        </w:rPr>
        <w:t xml:space="preserve"> </w:t>
      </w:r>
      <w:r w:rsidR="008A1098" w:rsidRPr="008C6632">
        <w:rPr>
          <w:rFonts w:ascii="Times New Roman" w:hAnsi="Times New Roman" w:cs="Times New Roman"/>
          <w:sz w:val="28"/>
          <w:szCs w:val="28"/>
        </w:rPr>
        <w:t>Петрівської сільської</w:t>
      </w:r>
      <w:r w:rsidRPr="008C6632">
        <w:rPr>
          <w:rFonts w:ascii="Times New Roman" w:hAnsi="Times New Roman" w:cs="Times New Roman"/>
          <w:sz w:val="28"/>
          <w:szCs w:val="28"/>
        </w:rPr>
        <w:t xml:space="preserve"> ради </w:t>
      </w:r>
      <w:r w:rsidR="008A1098" w:rsidRPr="008C6632">
        <w:rPr>
          <w:rFonts w:ascii="Times New Roman" w:hAnsi="Times New Roman" w:cs="Times New Roman"/>
          <w:sz w:val="28"/>
          <w:szCs w:val="28"/>
        </w:rPr>
        <w:t>восьмого</w:t>
      </w:r>
      <w:r w:rsidRPr="008C6632">
        <w:rPr>
          <w:rFonts w:ascii="Times New Roman" w:hAnsi="Times New Roman" w:cs="Times New Roman"/>
          <w:sz w:val="28"/>
          <w:szCs w:val="28"/>
        </w:rPr>
        <w:t xml:space="preserve"> скликання від </w:t>
      </w:r>
      <w:r w:rsidR="004B3EFE">
        <w:rPr>
          <w:rFonts w:ascii="Times New Roman" w:hAnsi="Times New Roman" w:cs="Times New Roman"/>
          <w:sz w:val="28"/>
          <w:szCs w:val="28"/>
        </w:rPr>
        <w:t>21</w:t>
      </w:r>
      <w:r w:rsidR="008A1098" w:rsidRPr="008C6632">
        <w:rPr>
          <w:rFonts w:ascii="Times New Roman" w:hAnsi="Times New Roman" w:cs="Times New Roman"/>
          <w:sz w:val="28"/>
          <w:szCs w:val="28"/>
        </w:rPr>
        <w:t>.</w:t>
      </w:r>
      <w:r w:rsidR="004B3EFE">
        <w:rPr>
          <w:rFonts w:ascii="Times New Roman" w:hAnsi="Times New Roman" w:cs="Times New Roman"/>
          <w:sz w:val="28"/>
          <w:szCs w:val="28"/>
        </w:rPr>
        <w:t>11</w:t>
      </w:r>
      <w:r w:rsidR="008A1098" w:rsidRPr="008C6632">
        <w:rPr>
          <w:rFonts w:ascii="Times New Roman" w:hAnsi="Times New Roman" w:cs="Times New Roman"/>
          <w:sz w:val="28"/>
          <w:szCs w:val="28"/>
        </w:rPr>
        <w:t>.202</w:t>
      </w:r>
      <w:r w:rsidR="004B3EFE">
        <w:rPr>
          <w:rFonts w:ascii="Times New Roman" w:hAnsi="Times New Roman" w:cs="Times New Roman"/>
          <w:sz w:val="28"/>
          <w:szCs w:val="28"/>
        </w:rPr>
        <w:t>5</w:t>
      </w:r>
      <w:r w:rsidRPr="008C6632">
        <w:rPr>
          <w:rFonts w:ascii="Times New Roman" w:hAnsi="Times New Roman" w:cs="Times New Roman"/>
          <w:sz w:val="28"/>
          <w:szCs w:val="28"/>
        </w:rPr>
        <w:t xml:space="preserve"> №</w:t>
      </w:r>
      <w:r w:rsidR="004B3EFE">
        <w:rPr>
          <w:rFonts w:ascii="Times New Roman" w:hAnsi="Times New Roman" w:cs="Times New Roman"/>
          <w:sz w:val="28"/>
          <w:szCs w:val="28"/>
        </w:rPr>
        <w:t>3024</w:t>
      </w:r>
      <w:r w:rsidRPr="008C6632">
        <w:rPr>
          <w:rFonts w:ascii="Times New Roman" w:hAnsi="Times New Roman" w:cs="Times New Roman"/>
          <w:sz w:val="28"/>
          <w:szCs w:val="28"/>
        </w:rPr>
        <w:t xml:space="preserve"> «</w:t>
      </w:r>
      <w:r w:rsidR="00AB2161">
        <w:rPr>
          <w:rFonts w:ascii="Times New Roman" w:hAnsi="Times New Roman" w:cs="Times New Roman"/>
          <w:sz w:val="28"/>
          <w:szCs w:val="28"/>
        </w:rPr>
        <w:t xml:space="preserve">Про надання дозволу на проведення нормативної грошової оцінки </w:t>
      </w:r>
      <w:bookmarkStart w:id="0" w:name="_GoBack"/>
      <w:bookmarkEnd w:id="0"/>
      <w:r w:rsidRPr="008C6632">
        <w:rPr>
          <w:rFonts w:ascii="Times New Roman" w:hAnsi="Times New Roman" w:cs="Times New Roman"/>
          <w:sz w:val="28"/>
          <w:szCs w:val="28"/>
        </w:rPr>
        <w:t xml:space="preserve">земель </w:t>
      </w:r>
      <w:r w:rsidR="008A1098" w:rsidRPr="008C6632">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sidR="008A1098" w:rsidRPr="008C6632">
        <w:rPr>
          <w:rFonts w:ascii="Times New Roman" w:hAnsi="Times New Roman" w:cs="Times New Roman"/>
          <w:sz w:val="28"/>
          <w:szCs w:val="28"/>
        </w:rPr>
        <w:t xml:space="preserve"> Петрівської сільської територіально громади Вишгородського району Київської області</w:t>
      </w:r>
      <w:r w:rsidRPr="008C6632">
        <w:rPr>
          <w:rFonts w:ascii="Times New Roman" w:hAnsi="Times New Roman" w:cs="Times New Roman"/>
          <w:sz w:val="28"/>
          <w:szCs w:val="28"/>
        </w:rPr>
        <w:t xml:space="preserve">» затверджено технічну документацію з нормативної грошової оцінки земель </w:t>
      </w:r>
      <w:r w:rsidR="0022358C" w:rsidRPr="008C6632">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sidR="0022358C" w:rsidRPr="008C6632">
        <w:rPr>
          <w:rFonts w:ascii="Times New Roman" w:hAnsi="Times New Roman" w:cs="Times New Roman"/>
          <w:sz w:val="28"/>
          <w:szCs w:val="28"/>
        </w:rPr>
        <w:t xml:space="preserve"> Вишгородського району Київської області</w:t>
      </w:r>
      <w:r w:rsidRPr="008C6632">
        <w:rPr>
          <w:rFonts w:ascii="Times New Roman" w:hAnsi="Times New Roman" w:cs="Times New Roman"/>
          <w:sz w:val="28"/>
          <w:szCs w:val="28"/>
        </w:rPr>
        <w:t xml:space="preserve">.  </w:t>
      </w:r>
    </w:p>
    <w:p w:rsidR="008A1098" w:rsidRDefault="00F96072" w:rsidP="001924FF">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w:t>
      </w:r>
      <w:r w:rsidR="0022358C" w:rsidRPr="008C6632">
        <w:rPr>
          <w:rFonts w:ascii="Times New Roman" w:hAnsi="Times New Roman" w:cs="Times New Roman"/>
          <w:sz w:val="28"/>
          <w:szCs w:val="28"/>
        </w:rPr>
        <w:t>-</w:t>
      </w:r>
      <w:r w:rsidRPr="008C6632">
        <w:rPr>
          <w:rFonts w:ascii="Times New Roman" w:hAnsi="Times New Roman" w:cs="Times New Roman"/>
          <w:sz w:val="28"/>
          <w:szCs w:val="28"/>
        </w:rPr>
        <w:t>7 років.</w:t>
      </w:r>
      <w:r w:rsidRPr="00F96072">
        <w:rPr>
          <w:rFonts w:ascii="Times New Roman" w:hAnsi="Times New Roman" w:cs="Times New Roman"/>
          <w:sz w:val="28"/>
          <w:szCs w:val="28"/>
        </w:rPr>
        <w:t xml:space="preserve"> </w:t>
      </w:r>
    </w:p>
    <w:p w:rsidR="001437C0"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Отже, запровадження з 01.01.202</w:t>
      </w:r>
      <w:r w:rsidR="004B3EFE">
        <w:rPr>
          <w:rFonts w:ascii="Times New Roman" w:hAnsi="Times New Roman" w:cs="Times New Roman"/>
          <w:sz w:val="28"/>
          <w:szCs w:val="28"/>
        </w:rPr>
        <w:t>7</w:t>
      </w:r>
      <w:r w:rsidRPr="00F96072">
        <w:rPr>
          <w:rFonts w:ascii="Times New Roman" w:hAnsi="Times New Roman" w:cs="Times New Roman"/>
          <w:sz w:val="28"/>
          <w:szCs w:val="28"/>
        </w:rPr>
        <w:t xml:space="preserve"> року нормативної грошової оцінки земель </w:t>
      </w:r>
      <w:r w:rsidR="001437C0">
        <w:rPr>
          <w:rFonts w:ascii="Times New Roman" w:hAnsi="Times New Roman" w:cs="Times New Roman"/>
          <w:sz w:val="28"/>
          <w:szCs w:val="28"/>
        </w:rPr>
        <w:t>с</w:t>
      </w:r>
      <w:r w:rsidR="0022358C">
        <w:rPr>
          <w:rFonts w:ascii="Times New Roman" w:hAnsi="Times New Roman" w:cs="Times New Roman"/>
          <w:sz w:val="28"/>
          <w:szCs w:val="28"/>
        </w:rPr>
        <w:t xml:space="preserve">ела </w:t>
      </w:r>
      <w:r w:rsidR="004B3EFE">
        <w:rPr>
          <w:rFonts w:ascii="Times New Roman" w:hAnsi="Times New Roman" w:cs="Times New Roman"/>
          <w:sz w:val="28"/>
          <w:szCs w:val="28"/>
        </w:rPr>
        <w:t>Гута-Межигірська</w:t>
      </w:r>
      <w:r w:rsidR="001437C0">
        <w:rPr>
          <w:rFonts w:ascii="Times New Roman" w:hAnsi="Times New Roman" w:cs="Times New Roman"/>
          <w:sz w:val="28"/>
          <w:szCs w:val="28"/>
        </w:rPr>
        <w:t xml:space="preserve"> Вишгородського району</w:t>
      </w:r>
      <w:r w:rsidRPr="00F96072">
        <w:rPr>
          <w:rFonts w:ascii="Times New Roman" w:hAnsi="Times New Roman" w:cs="Times New Roman"/>
          <w:sz w:val="28"/>
          <w:szCs w:val="28"/>
        </w:rPr>
        <w:t xml:space="preserve"> Київської області обумовлене необхідністю дотримання термінів проведення такої оцінки, визначених чинним законодавством України.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зв’язку з необхідністю дотримання строків проведення нормативної грошової оцінки земель </w:t>
      </w:r>
      <w:r w:rsidR="00D31F01">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поповнення </w:t>
      </w:r>
      <w:r w:rsidR="00D31F01">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за рахунок її перегляду, з метою забезпечення економічного регулювання земельних відносин, підвищення ефективності використання земель </w:t>
      </w:r>
      <w:r w:rsidR="009731A6">
        <w:rPr>
          <w:rFonts w:ascii="Times New Roman" w:hAnsi="Times New Roman" w:cs="Times New Roman"/>
          <w:sz w:val="28"/>
          <w:szCs w:val="28"/>
        </w:rPr>
        <w:t>в селі</w:t>
      </w:r>
      <w:r w:rsidRPr="00F96072">
        <w:rPr>
          <w:rFonts w:ascii="Times New Roman" w:hAnsi="Times New Roman" w:cs="Times New Roman"/>
          <w:sz w:val="28"/>
          <w:szCs w:val="28"/>
        </w:rPr>
        <w:t xml:space="preserve"> </w:t>
      </w:r>
      <w:r w:rsidR="004B3EFE">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керуючись нормами статті 15 Закону України «Про оцінку земель», Законом України «Про місцеве самоврядування в Україні», </w:t>
      </w:r>
      <w:r w:rsidR="009731A6">
        <w:rPr>
          <w:rFonts w:ascii="Times New Roman" w:hAnsi="Times New Roman" w:cs="Times New Roman"/>
          <w:sz w:val="28"/>
          <w:szCs w:val="28"/>
        </w:rPr>
        <w:t xml:space="preserve">Петрівською </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було прийнято рішення від </w:t>
      </w:r>
      <w:r w:rsidR="004B3EFE">
        <w:rPr>
          <w:rFonts w:ascii="Times New Roman" w:hAnsi="Times New Roman" w:cs="Times New Roman"/>
          <w:sz w:val="28"/>
          <w:szCs w:val="28"/>
        </w:rPr>
        <w:t>21</w:t>
      </w:r>
      <w:r w:rsidR="009731A6">
        <w:rPr>
          <w:rFonts w:ascii="Times New Roman" w:hAnsi="Times New Roman" w:cs="Times New Roman"/>
          <w:sz w:val="28"/>
          <w:szCs w:val="28"/>
        </w:rPr>
        <w:t>.1</w:t>
      </w:r>
      <w:r w:rsidR="004B3EFE">
        <w:rPr>
          <w:rFonts w:ascii="Times New Roman" w:hAnsi="Times New Roman" w:cs="Times New Roman"/>
          <w:sz w:val="28"/>
          <w:szCs w:val="28"/>
        </w:rPr>
        <w:t>1</w:t>
      </w:r>
      <w:r w:rsidR="009731A6">
        <w:rPr>
          <w:rFonts w:ascii="Times New Roman" w:hAnsi="Times New Roman" w:cs="Times New Roman"/>
          <w:sz w:val="28"/>
          <w:szCs w:val="28"/>
        </w:rPr>
        <w:t>.202</w:t>
      </w:r>
      <w:r w:rsidR="004B3EFE">
        <w:rPr>
          <w:rFonts w:ascii="Times New Roman" w:hAnsi="Times New Roman" w:cs="Times New Roman"/>
          <w:sz w:val="28"/>
          <w:szCs w:val="28"/>
        </w:rPr>
        <w:t>5</w:t>
      </w:r>
      <w:r w:rsidRPr="00F96072">
        <w:rPr>
          <w:rFonts w:ascii="Times New Roman" w:hAnsi="Times New Roman" w:cs="Times New Roman"/>
          <w:sz w:val="28"/>
          <w:szCs w:val="28"/>
        </w:rPr>
        <w:t>. №</w:t>
      </w:r>
      <w:r w:rsidR="004B3EFE">
        <w:rPr>
          <w:rFonts w:ascii="Times New Roman" w:hAnsi="Times New Roman" w:cs="Times New Roman"/>
          <w:sz w:val="28"/>
          <w:szCs w:val="28"/>
        </w:rPr>
        <w:t>3024</w:t>
      </w:r>
      <w:r w:rsidRPr="00F96072">
        <w:rPr>
          <w:rFonts w:ascii="Times New Roman" w:hAnsi="Times New Roman" w:cs="Times New Roman"/>
          <w:sz w:val="28"/>
          <w:szCs w:val="28"/>
        </w:rPr>
        <w:t xml:space="preserve"> «Про </w:t>
      </w:r>
      <w:r w:rsidR="009731A6">
        <w:rPr>
          <w:rFonts w:ascii="Times New Roman" w:hAnsi="Times New Roman" w:cs="Times New Roman"/>
          <w:sz w:val="28"/>
          <w:szCs w:val="28"/>
        </w:rPr>
        <w:t xml:space="preserve">проведення нормативної грошової оцінки земель села </w:t>
      </w:r>
      <w:r w:rsidR="004B3EFE">
        <w:rPr>
          <w:rFonts w:ascii="Times New Roman" w:hAnsi="Times New Roman" w:cs="Times New Roman"/>
          <w:sz w:val="28"/>
          <w:szCs w:val="28"/>
        </w:rPr>
        <w:t>Гута-Межигірська</w:t>
      </w:r>
      <w:r w:rsidR="009731A6">
        <w:rPr>
          <w:rFonts w:ascii="Times New Roman" w:hAnsi="Times New Roman" w:cs="Times New Roman"/>
          <w:sz w:val="28"/>
          <w:szCs w:val="28"/>
        </w:rPr>
        <w:t>»</w:t>
      </w:r>
      <w:r w:rsidRPr="00F96072">
        <w:rPr>
          <w:rFonts w:ascii="Times New Roman" w:hAnsi="Times New Roman" w:cs="Times New Roman"/>
          <w:sz w:val="28"/>
          <w:szCs w:val="28"/>
        </w:rPr>
        <w:t xml:space="preserve"> На виконання зазначеного рішення </w:t>
      </w:r>
      <w:r w:rsidR="009731A6">
        <w:rPr>
          <w:rFonts w:ascii="Times New Roman" w:hAnsi="Times New Roman" w:cs="Times New Roman"/>
          <w:sz w:val="28"/>
          <w:szCs w:val="28"/>
        </w:rPr>
        <w:t>Петрівською</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w:t>
      </w:r>
      <w:r w:rsidR="009731A6">
        <w:rPr>
          <w:rFonts w:ascii="Times New Roman" w:hAnsi="Times New Roman" w:cs="Times New Roman"/>
          <w:sz w:val="28"/>
          <w:szCs w:val="28"/>
        </w:rPr>
        <w:t>ою</w:t>
      </w:r>
      <w:r w:rsidRPr="00F96072">
        <w:rPr>
          <w:rFonts w:ascii="Times New Roman" w:hAnsi="Times New Roman" w:cs="Times New Roman"/>
          <w:sz w:val="28"/>
          <w:szCs w:val="28"/>
        </w:rPr>
        <w:t xml:space="preserve"> здійснені заходи по </w:t>
      </w:r>
      <w:r w:rsidR="009731A6">
        <w:rPr>
          <w:rFonts w:ascii="Times New Roman" w:hAnsi="Times New Roman" w:cs="Times New Roman"/>
          <w:sz w:val="28"/>
          <w:szCs w:val="28"/>
        </w:rPr>
        <w:t>укладенню договору з ТОВ «КИЇВЗЕМ»</w:t>
      </w:r>
      <w:r w:rsidRPr="00F96072">
        <w:rPr>
          <w:rFonts w:ascii="Times New Roman" w:hAnsi="Times New Roman" w:cs="Times New Roman"/>
          <w:sz w:val="28"/>
          <w:szCs w:val="28"/>
        </w:rPr>
        <w:t xml:space="preserve"> щодо розроблення технічної документації з нормативної грошової оцінки земель </w:t>
      </w:r>
      <w:r w:rsidR="009731A6">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та внесення за результатами якої відомостей до Державного земельного кадастру. </w:t>
      </w:r>
    </w:p>
    <w:p w:rsidR="009731A6" w:rsidRDefault="009731A6" w:rsidP="001924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ТОВ «КИЇВЗЕМ»</w:t>
      </w:r>
      <w:r w:rsidRPr="00F96072">
        <w:rPr>
          <w:rFonts w:ascii="Times New Roman" w:hAnsi="Times New Roman" w:cs="Times New Roman"/>
          <w:sz w:val="28"/>
          <w:szCs w:val="28"/>
        </w:rPr>
        <w:t xml:space="preserve"> </w:t>
      </w:r>
      <w:r w:rsidR="00F96072" w:rsidRPr="00F96072">
        <w:rPr>
          <w:rFonts w:ascii="Times New Roman" w:hAnsi="Times New Roman" w:cs="Times New Roman"/>
          <w:sz w:val="28"/>
          <w:szCs w:val="28"/>
        </w:rPr>
        <w:t xml:space="preserve"> розроблено технічну документацію з нормативної грошової оцінки земель </w:t>
      </w:r>
      <w:r>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Pr>
          <w:rFonts w:ascii="Times New Roman" w:hAnsi="Times New Roman" w:cs="Times New Roman"/>
          <w:sz w:val="28"/>
          <w:szCs w:val="28"/>
        </w:rPr>
        <w:t xml:space="preserve"> Вишгородського району Київської області</w:t>
      </w:r>
      <w:r w:rsidR="00F96072" w:rsidRPr="00F96072">
        <w:rPr>
          <w:rFonts w:ascii="Times New Roman" w:hAnsi="Times New Roman" w:cs="Times New Roman"/>
          <w:sz w:val="28"/>
          <w:szCs w:val="28"/>
        </w:rPr>
        <w:t xml:space="preserve">, у зв’язку з чим підготовлено проект рішення </w:t>
      </w:r>
      <w:r>
        <w:rPr>
          <w:rFonts w:ascii="Times New Roman" w:hAnsi="Times New Roman" w:cs="Times New Roman"/>
          <w:sz w:val="28"/>
          <w:szCs w:val="28"/>
        </w:rPr>
        <w:t>Петрівської сільської</w:t>
      </w:r>
      <w:r w:rsidR="00F96072"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земель населеного пункту </w:t>
      </w:r>
      <w:r>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sidR="00F96072" w:rsidRPr="00F96072">
        <w:rPr>
          <w:rFonts w:ascii="Times New Roman" w:hAnsi="Times New Roman" w:cs="Times New Roman"/>
          <w:sz w:val="28"/>
          <w:szCs w:val="28"/>
        </w:rPr>
        <w:t xml:space="preserve"> </w:t>
      </w:r>
      <w:r>
        <w:rPr>
          <w:rFonts w:ascii="Times New Roman" w:hAnsi="Times New Roman" w:cs="Times New Roman"/>
          <w:sz w:val="28"/>
          <w:szCs w:val="28"/>
        </w:rPr>
        <w:t>Вишгородського</w:t>
      </w:r>
      <w:r w:rsidR="00F96072" w:rsidRPr="00F96072">
        <w:rPr>
          <w:rFonts w:ascii="Times New Roman" w:hAnsi="Times New Roman" w:cs="Times New Roman"/>
          <w:sz w:val="28"/>
          <w:szCs w:val="28"/>
        </w:rPr>
        <w:t xml:space="preserve"> району Київської області».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пункту 3 розділу ІІ Закону України «Про внесення змін до деяких законодавчих актів України щодо вдосконалення системи управління та дерегуляції у сфері земельних відносин» № 1423-ІХ від 28.04.2021р. Закон України «Про державну експертизу землевпорядної документації» втратив чинність.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враховуючи норми чинного законодавства України, </w:t>
      </w:r>
      <w:r w:rsidR="009731A6">
        <w:rPr>
          <w:rFonts w:ascii="Times New Roman" w:hAnsi="Times New Roman" w:cs="Times New Roman"/>
          <w:sz w:val="28"/>
          <w:szCs w:val="28"/>
        </w:rPr>
        <w:t>Петрівська сільська</w:t>
      </w:r>
      <w:r w:rsidRPr="00F96072">
        <w:rPr>
          <w:rFonts w:ascii="Times New Roman" w:hAnsi="Times New Roman" w:cs="Times New Roman"/>
          <w:sz w:val="28"/>
          <w:szCs w:val="28"/>
        </w:rPr>
        <w:t xml:space="preserve"> рада </w:t>
      </w:r>
      <w:r w:rsidR="009731A6">
        <w:rPr>
          <w:rFonts w:ascii="Times New Roman" w:hAnsi="Times New Roman" w:cs="Times New Roman"/>
          <w:sz w:val="28"/>
          <w:szCs w:val="28"/>
        </w:rPr>
        <w:t>Вишгоро</w:t>
      </w:r>
      <w:r w:rsidR="001924FF">
        <w:rPr>
          <w:rFonts w:ascii="Times New Roman" w:hAnsi="Times New Roman" w:cs="Times New Roman"/>
          <w:sz w:val="28"/>
          <w:szCs w:val="28"/>
        </w:rPr>
        <w:t>дського</w:t>
      </w:r>
      <w:r w:rsidRPr="00F96072">
        <w:rPr>
          <w:rFonts w:ascii="Times New Roman" w:hAnsi="Times New Roman" w:cs="Times New Roman"/>
          <w:sz w:val="28"/>
          <w:szCs w:val="28"/>
        </w:rPr>
        <w:t xml:space="preserve"> району Київської області, як </w:t>
      </w:r>
      <w:r w:rsidRPr="00F96072">
        <w:rPr>
          <w:rFonts w:ascii="Times New Roman" w:hAnsi="Times New Roman" w:cs="Times New Roman"/>
          <w:sz w:val="28"/>
          <w:szCs w:val="28"/>
        </w:rPr>
        <w:lastRenderedPageBreak/>
        <w:t xml:space="preserve">замовник робіт з нормативної грошової оцінки земель, має затвердити технічну документацію з нормативної грошової оцінки земель населеного пункту </w:t>
      </w:r>
      <w:r w:rsidR="001924FF">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розроблену Товариством з обмеженою відповідальністю «</w:t>
      </w:r>
      <w:r w:rsidR="001924FF">
        <w:rPr>
          <w:rFonts w:ascii="Times New Roman" w:hAnsi="Times New Roman" w:cs="Times New Roman"/>
          <w:sz w:val="28"/>
          <w:szCs w:val="28"/>
        </w:rPr>
        <w:t>КИЇВЗЕМ</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Ухвалення </w:t>
      </w:r>
      <w:r w:rsidR="001924FF">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рішення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4B3EFE">
        <w:rPr>
          <w:rFonts w:ascii="Times New Roman" w:hAnsi="Times New Roman" w:cs="Times New Roman"/>
          <w:sz w:val="28"/>
          <w:szCs w:val="28"/>
        </w:rPr>
        <w:t>Гута-Межигірська</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планувальних зон і факторів, що враховують розташування земельних ділянок та функціонального використання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 основі нормативної грошової оцінки земель населених пунктів лежить капіталізація рентного доходу, що отримується залежно від місця розташування населеного пункту в загальнодержавній, регіональній і місцевій системах виробництва та розселення, облаштування його території та якості земель з урахуванням </w:t>
      </w:r>
      <w:proofErr w:type="spellStart"/>
      <w:r w:rsidRPr="00F96072">
        <w:rPr>
          <w:rFonts w:ascii="Times New Roman" w:hAnsi="Times New Roman" w:cs="Times New Roman"/>
          <w:sz w:val="28"/>
          <w:szCs w:val="28"/>
        </w:rPr>
        <w:t>природнокліматичних</w:t>
      </w:r>
      <w:proofErr w:type="spellEnd"/>
      <w:r w:rsidRPr="00F96072">
        <w:rPr>
          <w:rFonts w:ascii="Times New Roman" w:hAnsi="Times New Roman" w:cs="Times New Roman"/>
          <w:sz w:val="28"/>
          <w:szCs w:val="28"/>
        </w:rPr>
        <w:t xml:space="preserve"> та інженерно-геологічних умов, архітектурно-ландшафтної та історико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культурної цінності, екологічного стану, функціонального використання земель.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зі статтею 271 Податкового кодексу України рішення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 іншому разі норми відповідних рішень застосовуються не раніше початку бюджетного періоду, що настає за плановим періодом. Таким чином, ухвалення та оприлюднення до 15.07.202</w:t>
      </w:r>
      <w:r w:rsidR="00FB2A91">
        <w:rPr>
          <w:rFonts w:ascii="Times New Roman" w:hAnsi="Times New Roman" w:cs="Times New Roman"/>
          <w:sz w:val="28"/>
          <w:szCs w:val="28"/>
        </w:rPr>
        <w:t>6</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року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надасть можливість застосовувати нову</w:t>
      </w:r>
      <w:r w:rsidR="001924FF">
        <w:rPr>
          <w:rFonts w:ascii="Times New Roman" w:hAnsi="Times New Roman" w:cs="Times New Roman"/>
          <w:sz w:val="28"/>
          <w:szCs w:val="28"/>
        </w:rPr>
        <w:t xml:space="preserve"> (діючу)</w:t>
      </w:r>
      <w:r w:rsidRPr="00F96072">
        <w:rPr>
          <w:rFonts w:ascii="Times New Roman" w:hAnsi="Times New Roman" w:cs="Times New Roman"/>
          <w:sz w:val="28"/>
          <w:szCs w:val="28"/>
        </w:rPr>
        <w:t xml:space="preserve"> нормативну грошову оцінку для обчислення плати за землю на території </w:t>
      </w:r>
      <w:r w:rsidR="001924FF">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з 01.01.202</w:t>
      </w:r>
      <w:r w:rsidR="00FB2A91">
        <w:rPr>
          <w:rFonts w:ascii="Times New Roman" w:hAnsi="Times New Roman" w:cs="Times New Roman"/>
          <w:sz w:val="28"/>
          <w:szCs w:val="28"/>
        </w:rPr>
        <w:t>7</w:t>
      </w:r>
      <w:r w:rsidRPr="00F96072">
        <w:rPr>
          <w:rFonts w:ascii="Times New Roman" w:hAnsi="Times New Roman" w:cs="Times New Roman"/>
          <w:sz w:val="28"/>
          <w:szCs w:val="28"/>
        </w:rPr>
        <w:t xml:space="preserve"> року.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2. Обґрунтування, чому визначена проблема не може бути розв’язана за допомогою ринкових механізмів або за допомогою діючих регуляторних актів і потребує державного регулювання.</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Повноваження по розробленню технічної документації з нормативної грошової оцінки наданні чинним законодавством відповідним </w:t>
      </w:r>
      <w:r w:rsidR="001924FF">
        <w:rPr>
          <w:rFonts w:ascii="Times New Roman" w:hAnsi="Times New Roman" w:cs="Times New Roman"/>
          <w:sz w:val="28"/>
          <w:szCs w:val="28"/>
        </w:rPr>
        <w:t>сільським</w:t>
      </w:r>
      <w:r w:rsidRPr="00F96072">
        <w:rPr>
          <w:rFonts w:ascii="Times New Roman" w:hAnsi="Times New Roman" w:cs="Times New Roman"/>
          <w:sz w:val="28"/>
          <w:szCs w:val="28"/>
        </w:rPr>
        <w:t xml:space="preserve"> радам. Встановлення розміру нормативної грошової оцінки та цим самим вирішення вищезазначених проблем за допомогою ринкових механізмів без </w:t>
      </w:r>
      <w:r w:rsidRPr="00F96072">
        <w:rPr>
          <w:rFonts w:ascii="Times New Roman" w:hAnsi="Times New Roman" w:cs="Times New Roman"/>
          <w:sz w:val="28"/>
          <w:szCs w:val="28"/>
        </w:rPr>
        <w:lastRenderedPageBreak/>
        <w:t xml:space="preserve">прийняття відповідного регуляторного акту буде суперечити нормам діючого законодавства.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Тобто вирішення порушеної проблеми лежить, передусім, у правовій площині, та потребує державного регулювання і можливо тільки шляхом прийняття цього регуляторного акту відповідно до норм чинного законодавства.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b/>
          <w:sz w:val="28"/>
          <w:szCs w:val="28"/>
        </w:rPr>
      </w:pPr>
      <w:r w:rsidRPr="001924FF">
        <w:rPr>
          <w:rFonts w:ascii="Times New Roman" w:hAnsi="Times New Roman" w:cs="Times New Roman"/>
          <w:b/>
          <w:sz w:val="28"/>
          <w:szCs w:val="28"/>
        </w:rPr>
        <w:t xml:space="preserve">3. Цілі державного регулювання. </w:t>
      </w:r>
    </w:p>
    <w:p w:rsidR="001924FF" w:rsidRDefault="00F96072" w:rsidP="001924FF">
      <w:pPr>
        <w:spacing w:after="0" w:line="240" w:lineRule="auto"/>
        <w:ind w:firstLine="708"/>
        <w:jc w:val="both"/>
        <w:rPr>
          <w:rFonts w:ascii="Times New Roman" w:hAnsi="Times New Roman" w:cs="Times New Roman"/>
          <w:sz w:val="28"/>
          <w:szCs w:val="28"/>
        </w:rPr>
      </w:pPr>
      <w:r w:rsidRPr="001924FF">
        <w:rPr>
          <w:rFonts w:ascii="Times New Roman" w:hAnsi="Times New Roman" w:cs="Times New Roman"/>
          <w:sz w:val="28"/>
          <w:szCs w:val="28"/>
        </w:rPr>
        <w:t>Прийняття запропонованого</w:t>
      </w:r>
      <w:r w:rsidRPr="00F96072">
        <w:rPr>
          <w:rFonts w:ascii="Times New Roman" w:hAnsi="Times New Roman" w:cs="Times New Roman"/>
          <w:sz w:val="28"/>
          <w:szCs w:val="28"/>
        </w:rPr>
        <w:t xml:space="preserve"> регуляторного акту передбачає вирішення наступних цілей: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плати за землю у вигляді земельного податку або орендної плати за землю, державного мита при міні, спадкуванні та даруванні земельних ділянок відповідно до вимог Податкового кодексу України;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стимулювання ефективного використання землі на засадах ринкової економіки, визначення ринкової вартості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 </w:t>
      </w:r>
    </w:p>
    <w:p w:rsidR="001924FF" w:rsidRDefault="001924FF" w:rsidP="001924FF">
      <w:pPr>
        <w:spacing w:after="0" w:line="240" w:lineRule="auto"/>
        <w:ind w:firstLine="708"/>
        <w:jc w:val="both"/>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4. Визначення та оцінка усіх прийнятих альтернативних способів досягнення встановлених цілей, у тому числі ті з них, які не передбачають безпосереднього державного регулювання господарських відносин.</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1. Перша альтернатива – неприйняття регуляторного акту. Залишення існуючого регулювання без змін. </w:t>
      </w:r>
      <w:proofErr w:type="spellStart"/>
      <w:r w:rsidRPr="00F96072">
        <w:rPr>
          <w:rFonts w:ascii="Times New Roman" w:hAnsi="Times New Roman" w:cs="Times New Roman"/>
          <w:sz w:val="28"/>
          <w:szCs w:val="28"/>
        </w:rPr>
        <w:t>Непроведення</w:t>
      </w:r>
      <w:proofErr w:type="spellEnd"/>
      <w:r w:rsidRPr="00F96072">
        <w:rPr>
          <w:rFonts w:ascii="Times New Roman" w:hAnsi="Times New Roman" w:cs="Times New Roman"/>
          <w:sz w:val="28"/>
          <w:szCs w:val="28"/>
        </w:rPr>
        <w:t xml:space="preserve"> нормативної грошової оцінки в порядку та в строки, встановлені чинним законодавством України, призведе до недотримання термінів проведення нормативної грошової оцінки земель, що є порушенням вимог статті 18 Закону України «Про оцінку земель». Дана альтернатива є неприйнятною у зв’язку з тим, що не буде досягнуто мети правового регулювання та єдиного підходу до обчислення земельного податку, визначення розмірів орендної плати, державного мита.</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2. Друга альтернатива – прийняття регуляторного акту. Введення в дію </w:t>
      </w:r>
      <w:r w:rsidR="001924FF">
        <w:rPr>
          <w:rFonts w:ascii="Times New Roman" w:hAnsi="Times New Roman" w:cs="Times New Roman"/>
          <w:sz w:val="28"/>
          <w:szCs w:val="28"/>
        </w:rPr>
        <w:t>діючої</w:t>
      </w:r>
      <w:r w:rsidRPr="00F96072">
        <w:rPr>
          <w:rFonts w:ascii="Times New Roman" w:hAnsi="Times New Roman" w:cs="Times New Roman"/>
          <w:sz w:val="28"/>
          <w:szCs w:val="28"/>
        </w:rPr>
        <w:t xml:space="preserve"> нормативної грошової оцінки земель населеного пункту </w:t>
      </w:r>
      <w:r w:rsidR="001924FF">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відповідно до вимог статті 18 Закону України «Про оцінку земель». Застосування альтернативи шляхом прийняття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є найбільш прийнятним та доцільним способом, оскільки відповідає вимогам чинного законодавства, забезпечить належні надходження до місцевого бюджету та стимулюватиме ефективне землекористування.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3. Третя альтернатива – розв’язання зазначеної проблеми за допомогою ринкових механізмів тощо. Питання не може бути вирішене за рахунок використання ринкових механізмів. Вирішення зазначеної проблеми перебуває в правовому полі, а необхідність ухвалення </w:t>
      </w:r>
      <w:r w:rsidR="001924FF">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відповідного рішення про затвердження технічної документації з нормативної грошової оцінки земель обумовлена вимогами законодавства (статті 13, 18 та 23 Закону України «Про оцінку земель»). Альтернатива не є прийнятною. </w:t>
      </w: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5. Аргументи щодо переваги обраного способу досягнення встановлених цілей.</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підпункту 14.1.147 пункту 14.1 статті 14 Податкового кодексу України плата за землю – обов’язковий платіж у складі податку на майно, що справляється у формі земельного податку та орендної плати за земельні ділянки державної й комунальної власності. Базою оподаткування земельним податком й орендною платою за землю є нормативна грошова оцінка земельних ділянок. Плата за землю є одним із основних </w:t>
      </w:r>
      <w:proofErr w:type="spellStart"/>
      <w:r w:rsidRPr="00F96072">
        <w:rPr>
          <w:rFonts w:ascii="Times New Roman" w:hAnsi="Times New Roman" w:cs="Times New Roman"/>
          <w:sz w:val="28"/>
          <w:szCs w:val="28"/>
        </w:rPr>
        <w:t>бюджетоформуючих</w:t>
      </w:r>
      <w:proofErr w:type="spellEnd"/>
      <w:r w:rsidRPr="00F96072">
        <w:rPr>
          <w:rFonts w:ascii="Times New Roman" w:hAnsi="Times New Roman" w:cs="Times New Roman"/>
          <w:sz w:val="28"/>
          <w:szCs w:val="28"/>
        </w:rPr>
        <w:t xml:space="preserve"> джерел доходів загального фонду бюджету </w:t>
      </w:r>
      <w:r w:rsidR="001924FF">
        <w:rPr>
          <w:rFonts w:ascii="Times New Roman" w:hAnsi="Times New Roman" w:cs="Times New Roman"/>
          <w:sz w:val="28"/>
          <w:szCs w:val="28"/>
        </w:rPr>
        <w:t>села</w:t>
      </w:r>
      <w:r w:rsidRPr="00F96072">
        <w:rPr>
          <w:rFonts w:ascii="Times New Roman" w:hAnsi="Times New Roman" w:cs="Times New Roman"/>
          <w:sz w:val="28"/>
          <w:szCs w:val="28"/>
        </w:rPr>
        <w:t xml:space="preserve"> </w:t>
      </w:r>
      <w:r w:rsidR="00FB2A91">
        <w:rPr>
          <w:rFonts w:ascii="Times New Roman" w:hAnsi="Times New Roman" w:cs="Times New Roman"/>
          <w:sz w:val="28"/>
          <w:szCs w:val="28"/>
        </w:rPr>
        <w:t>Гута-Межигірська</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Вимірювальними індикаторами досягнення цілей держаного регулювання є: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кількісний – надходження плати за землю до доходної частини бюджету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часовий – дотримання термінів проведення нормативної грошової оцінки земель, визначених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якісний – рівень поінформованості суб’єктів господарювання та фізичних осіб щодо основних положень акта.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Дотримання правових аспектів буде виконано шляхом направлення профільною постійною депутатською комісією </w:t>
      </w:r>
      <w:r w:rsidR="00DA3E14">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 експертного висновку щодо регуляторного впливу внесеного проекту регуляторного акта разом з проектом рішення та підписаним аналізом регуляторного впливу до: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Державної регуляторної служби України для проведення експертизи щодо наявності ознак </w:t>
      </w:r>
      <w:proofErr w:type="spellStart"/>
      <w:r w:rsidRPr="00F96072">
        <w:rPr>
          <w:rFonts w:ascii="Times New Roman" w:hAnsi="Times New Roman" w:cs="Times New Roman"/>
          <w:sz w:val="28"/>
          <w:szCs w:val="28"/>
        </w:rPr>
        <w:t>регуляторності</w:t>
      </w:r>
      <w:proofErr w:type="spellEnd"/>
      <w:r w:rsidRPr="00F96072">
        <w:rPr>
          <w:rFonts w:ascii="Times New Roman" w:hAnsi="Times New Roman" w:cs="Times New Roman"/>
          <w:sz w:val="28"/>
          <w:szCs w:val="28"/>
        </w:rPr>
        <w:t xml:space="preserve"> і відповідності принципам державної регуляторної політики та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Територіального відділення Антимонопольного комітету України для погодження, як акту, що може вплинути на конкуренцію, зокрема щодо створення суб'єктів господарювання, встановлення і зміни правил їх поведінки на ринку, або такого, що може призвести до недопущення, усунення, обмеження чи спотворення конкуренції на відповідних ринках (згідно зі статтею 20 Закону України «Про Антимонопольний комітет України</w:t>
      </w:r>
      <w:r w:rsidR="00DA3E14">
        <w:rPr>
          <w:rFonts w:ascii="Times New Roman" w:hAnsi="Times New Roman" w:cs="Times New Roman"/>
          <w:sz w:val="28"/>
          <w:szCs w:val="28"/>
        </w:rPr>
        <w:t>»).</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десятиденний строк з дня прийняття рішення 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w:t>
      </w:r>
      <w:r w:rsidR="003338BE">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інформація про нормативну грошову оцінку земель міста в електронній </w:t>
      </w:r>
      <w:r w:rsidRPr="00F96072">
        <w:rPr>
          <w:rFonts w:ascii="Times New Roman" w:hAnsi="Times New Roman" w:cs="Times New Roman"/>
          <w:sz w:val="28"/>
          <w:szCs w:val="28"/>
        </w:rPr>
        <w:lastRenderedPageBreak/>
        <w:t xml:space="preserve">формі та копія прийнятого рішення будуть направлені до контролюючого органу та центрального органу виконавчої влади, що реалізує державну політику у сфері земельних відносин (згідно із підпунктом 12.3.3 пункту 12.3 статті 12 Податкового кодексу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Регуляторний акт, не пізніш як у десятиденний строк після його прийняття та підписання, буде офіційно оприлюднено у місцевих друкованих засобах масової інформації (згідно із статтею 12 Закону України «Про засади державної регуляторної політики у сфері господарської діяльності»).</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w:t>
      </w:r>
      <w:r w:rsidR="00DA3E14">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запропонованого регуляторного акту – проекту рішення </w:t>
      </w:r>
      <w:r w:rsidR="00DA3E14">
        <w:rPr>
          <w:rFonts w:ascii="Times New Roman" w:hAnsi="Times New Roman" w:cs="Times New Roman"/>
          <w:sz w:val="28"/>
          <w:szCs w:val="28"/>
        </w:rPr>
        <w:t>Петрівської сіль</w:t>
      </w:r>
      <w:r w:rsidR="003338BE">
        <w:rPr>
          <w:rFonts w:ascii="Times New Roman" w:hAnsi="Times New Roman" w:cs="Times New Roman"/>
          <w:sz w:val="28"/>
          <w:szCs w:val="28"/>
        </w:rPr>
        <w:t>сь</w:t>
      </w:r>
      <w:r w:rsidR="00DA3E14">
        <w:rPr>
          <w:rFonts w:ascii="Times New Roman" w:hAnsi="Times New Roman" w:cs="Times New Roman"/>
          <w:sz w:val="28"/>
          <w:szCs w:val="28"/>
        </w:rPr>
        <w:t>кої</w:t>
      </w:r>
      <w:r w:rsidRPr="00F96072">
        <w:rPr>
          <w:rFonts w:ascii="Times New Roman" w:hAnsi="Times New Roman" w:cs="Times New Roman"/>
          <w:sz w:val="28"/>
          <w:szCs w:val="28"/>
        </w:rPr>
        <w:t xml:space="preserve"> ради «</w:t>
      </w:r>
      <w:r w:rsidR="00DA3E14"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00DA3E14" w:rsidRPr="00F96072">
        <w:rPr>
          <w:rFonts w:ascii="Times New Roman" w:hAnsi="Times New Roman" w:cs="Times New Roman"/>
          <w:sz w:val="28"/>
          <w:szCs w:val="28"/>
        </w:rPr>
        <w:t xml:space="preserve"> </w:t>
      </w:r>
      <w:r w:rsidR="00DA3E14">
        <w:rPr>
          <w:rFonts w:ascii="Times New Roman" w:hAnsi="Times New Roman" w:cs="Times New Roman"/>
          <w:sz w:val="28"/>
          <w:szCs w:val="28"/>
        </w:rPr>
        <w:t>Вишгородського</w:t>
      </w:r>
      <w:r w:rsidR="00DA3E14"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дасть можливість вирішити визначені проблеми при дотриманні норм чинного законодавства України, в найбільш короткий термін, з найменшими витратами.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6. Очікувані результати прийняття запропонованого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 прийняттям даного рішення: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дотримуються терміни проведення нормативної грошової оцінки земель, визначені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уточнюється надходження плати за землю до доходної частини бюджету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забезпечується можливість планування та прогнозування надходжень від податків при формуванні міського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збільшується рівень поінформованості суб’єктів господарювання та фізичних осіб щодо основних положень акта.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7. Механізм і заходи, які забезпечать розв’язання визначеної проблеми.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Податкового кодексу України до повноважень органів місцевого самоврядування належить прийняття рішення про затвердження нормативної грошової оцінки земель населеного пункту </w:t>
      </w:r>
      <w:r w:rsidR="00FB2A91">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Зробити це можливо за рахунок прийняття відповідного рішення </w:t>
      </w:r>
      <w:r w:rsidR="00DA3E14">
        <w:rPr>
          <w:rFonts w:ascii="Times New Roman" w:hAnsi="Times New Roman" w:cs="Times New Roman"/>
          <w:sz w:val="28"/>
          <w:szCs w:val="28"/>
        </w:rPr>
        <w:t>Петрівською сільською радою.</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Невідкладне оприлюднення проекту регуляторного акту буде розміщено на офіційному веб</w:t>
      </w:r>
      <w:r w:rsidR="00DA3E14">
        <w:rPr>
          <w:rFonts w:ascii="Times New Roman" w:hAnsi="Times New Roman" w:cs="Times New Roman"/>
          <w:sz w:val="28"/>
          <w:szCs w:val="28"/>
        </w:rPr>
        <w:t>-</w:t>
      </w:r>
      <w:r w:rsidRPr="00F96072">
        <w:rPr>
          <w:rFonts w:ascii="Times New Roman" w:hAnsi="Times New Roman" w:cs="Times New Roman"/>
          <w:sz w:val="28"/>
          <w:szCs w:val="28"/>
        </w:rPr>
        <w:t xml:space="preserve">сайті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w:t>
      </w:r>
      <w:r w:rsidR="00DA3E14">
        <w:rPr>
          <w:rFonts w:ascii="Times New Roman" w:hAnsi="Times New Roman" w:cs="Times New Roman"/>
          <w:sz w:val="28"/>
          <w:szCs w:val="28"/>
        </w:rPr>
        <w:t xml:space="preserve"> </w:t>
      </w:r>
      <w:r w:rsidR="00DA3E14" w:rsidRPr="00F96072">
        <w:rPr>
          <w:rFonts w:ascii="Times New Roman" w:hAnsi="Times New Roman" w:cs="Times New Roman"/>
          <w:sz w:val="28"/>
          <w:szCs w:val="28"/>
        </w:rPr>
        <w:t>http://</w:t>
      </w:r>
      <w:r w:rsidR="00DA3E14" w:rsidRPr="00DA3E14">
        <w:rPr>
          <w:rFonts w:ascii="Times New Roman" w:hAnsi="Times New Roman" w:cs="Times New Roman"/>
          <w:sz w:val="28"/>
          <w:szCs w:val="28"/>
        </w:rPr>
        <w:t>petrivtsi-rada.gov.ua</w:t>
      </w:r>
      <w:r w:rsidRPr="00F96072">
        <w:rPr>
          <w:rFonts w:ascii="Times New Roman" w:hAnsi="Times New Roman" w:cs="Times New Roman"/>
          <w:sz w:val="28"/>
          <w:szCs w:val="28"/>
        </w:rPr>
        <w:t xml:space="preserve"> та у випуску </w:t>
      </w:r>
      <w:r w:rsidR="00DA3E14">
        <w:rPr>
          <w:rFonts w:ascii="Times New Roman" w:hAnsi="Times New Roman" w:cs="Times New Roman"/>
          <w:sz w:val="28"/>
          <w:szCs w:val="28"/>
        </w:rPr>
        <w:t xml:space="preserve">місцевої </w:t>
      </w:r>
      <w:r w:rsidRPr="00F96072">
        <w:rPr>
          <w:rFonts w:ascii="Times New Roman" w:hAnsi="Times New Roman" w:cs="Times New Roman"/>
          <w:sz w:val="28"/>
          <w:szCs w:val="28"/>
        </w:rPr>
        <w:t xml:space="preserve">газети з метою громадського обговорення, надання зауважень та пропозицій від громадськості. </w:t>
      </w: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8. Обґрунтування можливості досягнення визначених цілей у разі прийняття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До кількісних показників належать: чисельність платників за землю, надходження коштів до бюджету </w:t>
      </w:r>
      <w:r w:rsidR="00DA3E14">
        <w:rPr>
          <w:rFonts w:ascii="Times New Roman" w:hAnsi="Times New Roman" w:cs="Times New Roman"/>
          <w:sz w:val="28"/>
          <w:szCs w:val="28"/>
        </w:rPr>
        <w:t xml:space="preserve">Петрівської сільської </w:t>
      </w:r>
      <w:r w:rsidRPr="00F96072">
        <w:rPr>
          <w:rFonts w:ascii="Times New Roman" w:hAnsi="Times New Roman" w:cs="Times New Roman"/>
          <w:sz w:val="28"/>
          <w:szCs w:val="28"/>
        </w:rPr>
        <w:t xml:space="preserve">територіальної громади від плати за землю. Крім кількісних показників до вигод належить забезпечення фінансування міських цільових програм за рахунок збільшення надходжень коштів до бюджету </w:t>
      </w:r>
      <w:r w:rsidR="00DA3E14">
        <w:rPr>
          <w:rFonts w:ascii="Times New Roman" w:hAnsi="Times New Roman" w:cs="Times New Roman"/>
          <w:sz w:val="28"/>
          <w:szCs w:val="28"/>
        </w:rPr>
        <w:t xml:space="preserve">Петрівської </w:t>
      </w:r>
      <w:proofErr w:type="spellStart"/>
      <w:r w:rsidR="00DA3E14">
        <w:rPr>
          <w:rFonts w:ascii="Times New Roman" w:hAnsi="Times New Roman" w:cs="Times New Roman"/>
          <w:sz w:val="28"/>
          <w:szCs w:val="28"/>
        </w:rPr>
        <w:t>сілької</w:t>
      </w:r>
      <w:proofErr w:type="spellEnd"/>
      <w:r w:rsidRPr="00F96072">
        <w:rPr>
          <w:rFonts w:ascii="Times New Roman" w:hAnsi="Times New Roman" w:cs="Times New Roman"/>
          <w:sz w:val="28"/>
          <w:szCs w:val="28"/>
        </w:rPr>
        <w:t xml:space="preserve"> територіальної громади від плати за землю.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запропонованого проекту рішення надасть можливість: - поповнення бюджету </w:t>
      </w:r>
      <w:r w:rsidR="00DA3E14">
        <w:rPr>
          <w:rFonts w:ascii="Times New Roman" w:hAnsi="Times New Roman" w:cs="Times New Roman"/>
          <w:sz w:val="28"/>
          <w:szCs w:val="28"/>
        </w:rPr>
        <w:t>сільської громади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здійснення якісного планування та прогнозування надходжень від сплати за землю при формуванні </w:t>
      </w:r>
      <w:r w:rsidR="00DA3E1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простота і доступність даного регуляторного акту.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9. Очікувані витрати та вигоди суб’єктів господарювання, громади та держави внаслідок дії регуляторного акту.</w:t>
      </w:r>
      <w:r w:rsidRPr="00F96072">
        <w:rPr>
          <w:rFonts w:ascii="Times New Roman" w:hAnsi="Times New Roman" w:cs="Times New Roman"/>
          <w:sz w:val="28"/>
          <w:szCs w:val="28"/>
        </w:rPr>
        <w:t xml:space="preserve"> </w:t>
      </w:r>
    </w:p>
    <w:tbl>
      <w:tblPr>
        <w:tblStyle w:val="a3"/>
        <w:tblW w:w="0" w:type="auto"/>
        <w:tblLook w:val="04A0" w:firstRow="1" w:lastRow="0" w:firstColumn="1" w:lastColumn="0" w:noHBand="0" w:noVBand="1"/>
      </w:tblPr>
      <w:tblGrid>
        <w:gridCol w:w="3190"/>
        <w:gridCol w:w="3190"/>
        <w:gridCol w:w="3191"/>
      </w:tblGrid>
      <w:tr w:rsidR="00DA3E14" w:rsidTr="00DA3E14">
        <w:tc>
          <w:tcPr>
            <w:tcW w:w="3190" w:type="dxa"/>
          </w:tcPr>
          <w:p w:rsidR="00DA3E14" w:rsidRDefault="00DA3E14" w:rsidP="009731A6">
            <w:pPr>
              <w:rPr>
                <w:rFonts w:ascii="Times New Roman" w:hAnsi="Times New Roman" w:cs="Times New Roman"/>
                <w:sz w:val="28"/>
                <w:szCs w:val="28"/>
              </w:rPr>
            </w:pPr>
          </w:p>
        </w:tc>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Переваги</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Витрати</w:t>
            </w:r>
          </w:p>
        </w:tc>
      </w:tr>
      <w:tr w:rsidR="00DA3E14" w:rsidTr="00DA3E14">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Органи місцевого самоврядування</w:t>
            </w:r>
          </w:p>
        </w:tc>
        <w:tc>
          <w:tcPr>
            <w:tcW w:w="3190" w:type="dxa"/>
          </w:tcPr>
          <w:p w:rsidR="001A03D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виконання вимог пункту 10.2 статті 10 Податкового кодексу України;</w:t>
            </w:r>
          </w:p>
          <w:p w:rsidR="00DA3E1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xml:space="preserve">- можливість планування та прогнозування надходжень від податків при формуванні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Незначні організаційні витрати, пов’язані з прийняттям та впровадженням даного рішення</w:t>
            </w:r>
          </w:p>
        </w:tc>
      </w:tr>
      <w:tr w:rsidR="00DA3E14" w:rsidTr="00DA3E14">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Фізичні та юридичні особи, які є власниками (землекористувачами) на території </w:t>
            </w:r>
            <w:r>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w:t>
            </w:r>
          </w:p>
        </w:tc>
        <w:tc>
          <w:tcPr>
            <w:tcW w:w="3190" w:type="dxa"/>
          </w:tcPr>
          <w:p w:rsidR="001A03D4" w:rsidRDefault="001A03D4" w:rsidP="001A03D4">
            <w:pPr>
              <w:rPr>
                <w:rFonts w:ascii="Times New Roman" w:hAnsi="Times New Roman" w:cs="Times New Roman"/>
                <w:sz w:val="28"/>
                <w:szCs w:val="28"/>
              </w:rPr>
            </w:pPr>
            <w:r>
              <w:rPr>
                <w:rFonts w:ascii="Times New Roman" w:hAnsi="Times New Roman" w:cs="Times New Roman"/>
                <w:sz w:val="28"/>
                <w:szCs w:val="28"/>
              </w:rPr>
              <w:t>- м</w:t>
            </w:r>
            <w:r w:rsidRPr="00F96072">
              <w:rPr>
                <w:rFonts w:ascii="Times New Roman" w:hAnsi="Times New Roman" w:cs="Times New Roman"/>
                <w:sz w:val="28"/>
                <w:szCs w:val="28"/>
              </w:rPr>
              <w:t xml:space="preserve">ожливість обговорення до затвердження </w:t>
            </w:r>
            <w:r>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w:t>
            </w:r>
          </w:p>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визначення чітких розмірів податків та механізмів їх сплати</w:t>
            </w:r>
          </w:p>
        </w:tc>
        <w:tc>
          <w:tcPr>
            <w:tcW w:w="3191"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Сплата податків та зборів за новою нормативною грошовою оцінкою, що буде затверджена </w:t>
            </w:r>
            <w:r>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Потенційні інвестори з інших регіонів</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порівняння розміру нормативної грошової оцінки земель населеного пункту з іншими адміністративними одиницями та вирішення питання початку бізнесу у найбільш привабливому регіоні</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 xml:space="preserve">Фізичні та юридичні </w:t>
            </w:r>
            <w:r w:rsidRPr="00F96072">
              <w:rPr>
                <w:rFonts w:ascii="Times New Roman" w:hAnsi="Times New Roman" w:cs="Times New Roman"/>
                <w:sz w:val="28"/>
                <w:szCs w:val="28"/>
              </w:rPr>
              <w:lastRenderedPageBreak/>
              <w:t>особи, які планують бути землевласниками (землекористувачами)</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lastRenderedPageBreak/>
              <w:t xml:space="preserve">Можливість заздалегідь </w:t>
            </w:r>
            <w:r w:rsidRPr="00F96072">
              <w:rPr>
                <w:rFonts w:ascii="Times New Roman" w:hAnsi="Times New Roman" w:cs="Times New Roman"/>
                <w:sz w:val="28"/>
                <w:szCs w:val="28"/>
              </w:rPr>
              <w:lastRenderedPageBreak/>
              <w:t>розрахувати розміри можливих податків і врахувати усі ризики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lastRenderedPageBreak/>
              <w:t>відсутні</w:t>
            </w:r>
          </w:p>
        </w:tc>
      </w:tr>
      <w:tr w:rsidR="00DA3E14" w:rsidTr="00DA3E14">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lastRenderedPageBreak/>
              <w:t xml:space="preserve">Мешканці, що проживають на території </w:t>
            </w:r>
            <w:r>
              <w:rPr>
                <w:rFonts w:ascii="Times New Roman" w:hAnsi="Times New Roman" w:cs="Times New Roman"/>
                <w:sz w:val="28"/>
                <w:szCs w:val="28"/>
              </w:rPr>
              <w:t xml:space="preserve">с. </w:t>
            </w:r>
            <w:r w:rsidR="00FB2A91">
              <w:rPr>
                <w:rFonts w:ascii="Times New Roman" w:hAnsi="Times New Roman" w:cs="Times New Roman"/>
                <w:sz w:val="28"/>
                <w:szCs w:val="28"/>
              </w:rPr>
              <w:t>Гута-Межигірська</w:t>
            </w:r>
          </w:p>
        </w:tc>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Додаткові надходження до</w:t>
            </w:r>
            <w:r>
              <w:rPr>
                <w:rFonts w:ascii="Times New Roman" w:hAnsi="Times New Roman" w:cs="Times New Roman"/>
                <w:sz w:val="28"/>
                <w:szCs w:val="28"/>
              </w:rPr>
              <w:t xml:space="preserve"> Петрівського</w:t>
            </w:r>
            <w:r w:rsidRPr="00F96072">
              <w:rPr>
                <w:rFonts w:ascii="Times New Roman" w:hAnsi="Times New Roman" w:cs="Times New Roman"/>
                <w:sz w:val="28"/>
                <w:szCs w:val="28"/>
              </w:rPr>
              <w:t xml:space="preserve">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дозволять виділяти більше коштів на соціально-економічний розвиток </w:t>
            </w:r>
            <w:r>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Pr="00F96072">
              <w:rPr>
                <w:rFonts w:ascii="Times New Roman" w:hAnsi="Times New Roman" w:cs="Times New Roman"/>
                <w:sz w:val="28"/>
                <w:szCs w:val="28"/>
              </w:rPr>
              <w:t>. Прозорість дій влади.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bl>
    <w:p w:rsidR="00DA3E14" w:rsidRDefault="00DA3E14" w:rsidP="009731A6">
      <w:pPr>
        <w:spacing w:after="0" w:line="240" w:lineRule="auto"/>
        <w:ind w:firstLine="708"/>
        <w:rPr>
          <w:rFonts w:ascii="Times New Roman" w:hAnsi="Times New Roman" w:cs="Times New Roman"/>
          <w:sz w:val="28"/>
          <w:szCs w:val="28"/>
        </w:rPr>
      </w:pP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прийняття даного рішення не потребує фінансових витрат з </w:t>
      </w:r>
      <w:r w:rsidR="001A03D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Головним результатом прийняття цього акту є затвердження нормативної грошової оцінки земель населеного пункту </w:t>
      </w:r>
      <w:r w:rsidR="001A03D4">
        <w:rPr>
          <w:rFonts w:ascii="Times New Roman" w:hAnsi="Times New Roman" w:cs="Times New Roman"/>
          <w:sz w:val="28"/>
          <w:szCs w:val="28"/>
        </w:rPr>
        <w:t xml:space="preserve">села </w:t>
      </w:r>
      <w:r w:rsidR="00FB2A91">
        <w:rPr>
          <w:rFonts w:ascii="Times New Roman" w:hAnsi="Times New Roman" w:cs="Times New Roman"/>
          <w:sz w:val="28"/>
          <w:szCs w:val="28"/>
        </w:rPr>
        <w:t>Гута-Межигірська</w:t>
      </w:r>
      <w:r w:rsidRPr="00F96072">
        <w:rPr>
          <w:rFonts w:ascii="Times New Roman" w:hAnsi="Times New Roman" w:cs="Times New Roman"/>
          <w:sz w:val="28"/>
          <w:szCs w:val="28"/>
        </w:rPr>
        <w:t xml:space="preserve"> відповідно до чинного законодавства.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10. Оцінка можливості впорядження та виконання вимог регуляторного акту залежно від ресурсів, якими розпоряджаються органи державної влади, органи місцевого самоврядування, фізичні та юридичні особи, які повинні впроваджувати або виконувати ці вимоги.</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Реалізація запропонованого регуляторного акту не потребує додаткових матеріальних та фінансових витрат органів місцевого самоврядування з бюджету </w:t>
      </w:r>
      <w:r w:rsidR="001A03D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Додаткові витрати на виконання вимог регуляторного акту з боку держави також не передбачено.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11. Оцінка ризику впливу зовнішніх чинників на дію регуляторного акту.</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Вплив зовнішніх факторів на виконання регуляторного акту виключається, окрім змін в чинному законодавстві з питань регулювання земельних відносин та оподаткування. При настанні зазначених подій до регуляторного акту будуть внесені відповідні зміни.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12. Термін дії регуляторного акта.</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13. Визначення показників результативності рішення.</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показників результативності дії акта належать обсяги надходжень коштів від сплати за землю на території </w:t>
      </w:r>
      <w:r w:rsidR="001A03D4">
        <w:rPr>
          <w:rFonts w:ascii="Times New Roman" w:hAnsi="Times New Roman" w:cs="Times New Roman"/>
          <w:sz w:val="28"/>
          <w:szCs w:val="28"/>
        </w:rPr>
        <w:t>Петрівської сільської ради</w:t>
      </w:r>
      <w:r w:rsidRPr="00F96072">
        <w:rPr>
          <w:rFonts w:ascii="Times New Roman" w:hAnsi="Times New Roman" w:cs="Times New Roman"/>
          <w:sz w:val="28"/>
          <w:szCs w:val="28"/>
        </w:rPr>
        <w:t xml:space="preserve">. Дія рішення поширюється на платників місцевих податків і зборів у </w:t>
      </w:r>
      <w:r w:rsidR="00F82854">
        <w:rPr>
          <w:rFonts w:ascii="Times New Roman" w:hAnsi="Times New Roman" w:cs="Times New Roman"/>
          <w:sz w:val="28"/>
          <w:szCs w:val="28"/>
        </w:rPr>
        <w:t xml:space="preserve">селі </w:t>
      </w:r>
      <w:r w:rsidR="00FB2A91">
        <w:rPr>
          <w:rFonts w:ascii="Times New Roman" w:hAnsi="Times New Roman" w:cs="Times New Roman"/>
          <w:sz w:val="28"/>
          <w:szCs w:val="28"/>
        </w:rPr>
        <w:t>Гута-</w:t>
      </w:r>
      <w:r w:rsidR="00FB2A91">
        <w:rPr>
          <w:rFonts w:ascii="Times New Roman" w:hAnsi="Times New Roman" w:cs="Times New Roman"/>
          <w:sz w:val="28"/>
          <w:szCs w:val="28"/>
        </w:rPr>
        <w:lastRenderedPageBreak/>
        <w:t>Межигірська</w:t>
      </w:r>
      <w:r w:rsidRPr="00F96072">
        <w:rPr>
          <w:rFonts w:ascii="Times New Roman" w:hAnsi="Times New Roman" w:cs="Times New Roman"/>
          <w:sz w:val="28"/>
          <w:szCs w:val="28"/>
        </w:rPr>
        <w:t xml:space="preserve">. Розмір коштів і час, що витрачатимуться платниками місцевих податків і зборів, пов’язані з виконанням вимог даного акта, не зміняться.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14. Заходи щодо відстеження результативності рішення.</w:t>
      </w:r>
      <w:r w:rsidRPr="00F96072">
        <w:rPr>
          <w:rFonts w:ascii="Times New Roman" w:hAnsi="Times New Roman" w:cs="Times New Roman"/>
          <w:sz w:val="28"/>
          <w:szCs w:val="28"/>
        </w:rPr>
        <w:t xml:space="preserve">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Для відстеження буде застосовано аналіз даних бюджетної та податкової звітності.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Під час прийняття регуляторного акта, у встановлені чинним законодавством строки, постійна </w:t>
      </w:r>
      <w:r w:rsidR="001A03D4">
        <w:rPr>
          <w:rFonts w:ascii="Times New Roman" w:hAnsi="Times New Roman" w:cs="Times New Roman"/>
          <w:sz w:val="28"/>
          <w:szCs w:val="28"/>
        </w:rPr>
        <w:t xml:space="preserve">профільна </w:t>
      </w:r>
      <w:r w:rsidRPr="00F96072">
        <w:rPr>
          <w:rFonts w:ascii="Times New Roman" w:hAnsi="Times New Roman" w:cs="Times New Roman"/>
          <w:sz w:val="28"/>
          <w:szCs w:val="28"/>
        </w:rPr>
        <w:t xml:space="preserve">депутатська комісія з метою оцінки стану суспільних відносин, на врегулювання яких спрямована дія акта, проводитиме базове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Не пізніше двох років після набрання чинності регуляторним актом, з метою оцінки ступеня досягнення цим актом визначених цілей, буде здійснене повторне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Кожні три роки з моменту виконання заходів щодо проведення повторного відстеження результативності дії акта, при умові його чинності, проводитиметься періодичне відстеження результативності цього акта. </w:t>
      </w:r>
    </w:p>
    <w:p w:rsidR="001A03D4" w:rsidRDefault="001A03D4" w:rsidP="009731A6">
      <w:pPr>
        <w:spacing w:after="0" w:line="240" w:lineRule="auto"/>
        <w:ind w:firstLine="708"/>
        <w:rPr>
          <w:rFonts w:ascii="Times New Roman" w:hAnsi="Times New Roman" w:cs="Times New Roman"/>
          <w:sz w:val="28"/>
          <w:szCs w:val="28"/>
        </w:rPr>
      </w:pPr>
    </w:p>
    <w:p w:rsidR="001A03D4" w:rsidRDefault="001A03D4" w:rsidP="009731A6">
      <w:pPr>
        <w:spacing w:after="0" w:line="240" w:lineRule="auto"/>
        <w:ind w:firstLine="708"/>
        <w:rPr>
          <w:rFonts w:ascii="Times New Roman" w:hAnsi="Times New Roman" w:cs="Times New Roman"/>
          <w:sz w:val="28"/>
          <w:szCs w:val="28"/>
        </w:rPr>
      </w:pPr>
    </w:p>
    <w:p w:rsidR="00213651" w:rsidRPr="001A03D4" w:rsidRDefault="001A03D4" w:rsidP="001A03D4">
      <w:pPr>
        <w:spacing w:after="0" w:line="240" w:lineRule="auto"/>
        <w:rPr>
          <w:rFonts w:ascii="Times New Roman" w:hAnsi="Times New Roman" w:cs="Times New Roman"/>
          <w:b/>
          <w:sz w:val="28"/>
          <w:szCs w:val="28"/>
        </w:rPr>
      </w:pPr>
      <w:r w:rsidRPr="001A03D4">
        <w:rPr>
          <w:rFonts w:ascii="Times New Roman" w:hAnsi="Times New Roman" w:cs="Times New Roman"/>
          <w:b/>
          <w:sz w:val="28"/>
          <w:szCs w:val="28"/>
        </w:rPr>
        <w:t>Сільсь</w:t>
      </w:r>
      <w:r>
        <w:rPr>
          <w:rFonts w:ascii="Times New Roman" w:hAnsi="Times New Roman" w:cs="Times New Roman"/>
          <w:b/>
          <w:sz w:val="28"/>
          <w:szCs w:val="28"/>
        </w:rPr>
        <w:t xml:space="preserve">кий голова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F82854">
        <w:rPr>
          <w:rFonts w:ascii="Times New Roman" w:hAnsi="Times New Roman" w:cs="Times New Roman"/>
          <w:b/>
          <w:sz w:val="28"/>
          <w:szCs w:val="28"/>
        </w:rPr>
        <w:tab/>
      </w:r>
      <w:r w:rsidRPr="001A03D4">
        <w:rPr>
          <w:rFonts w:ascii="Times New Roman" w:hAnsi="Times New Roman" w:cs="Times New Roman"/>
          <w:b/>
          <w:sz w:val="28"/>
          <w:szCs w:val="28"/>
        </w:rPr>
        <w:t>Радіон СТ</w:t>
      </w:r>
      <w:r w:rsidR="003338BE">
        <w:rPr>
          <w:rFonts w:ascii="Times New Roman" w:hAnsi="Times New Roman" w:cs="Times New Roman"/>
          <w:b/>
          <w:sz w:val="28"/>
          <w:szCs w:val="28"/>
        </w:rPr>
        <w:t>А</w:t>
      </w:r>
      <w:r w:rsidRPr="001A03D4">
        <w:rPr>
          <w:rFonts w:ascii="Times New Roman" w:hAnsi="Times New Roman" w:cs="Times New Roman"/>
          <w:b/>
          <w:sz w:val="28"/>
          <w:szCs w:val="28"/>
        </w:rPr>
        <w:t>РЕНЬКИЙ</w:t>
      </w:r>
    </w:p>
    <w:sectPr w:rsidR="00213651" w:rsidRPr="001A0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41A"/>
    <w:rsid w:val="000209FE"/>
    <w:rsid w:val="001437C0"/>
    <w:rsid w:val="001924FF"/>
    <w:rsid w:val="001A03D4"/>
    <w:rsid w:val="00213651"/>
    <w:rsid w:val="0022358C"/>
    <w:rsid w:val="003338BE"/>
    <w:rsid w:val="004A791F"/>
    <w:rsid w:val="004B3EFE"/>
    <w:rsid w:val="00754795"/>
    <w:rsid w:val="00845FF8"/>
    <w:rsid w:val="0087041A"/>
    <w:rsid w:val="008A1098"/>
    <w:rsid w:val="008C6632"/>
    <w:rsid w:val="009731A6"/>
    <w:rsid w:val="00AB2161"/>
    <w:rsid w:val="00B13B20"/>
    <w:rsid w:val="00D31F01"/>
    <w:rsid w:val="00DA3E14"/>
    <w:rsid w:val="00F82854"/>
    <w:rsid w:val="00F96072"/>
    <w:rsid w:val="00FB2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14806</Words>
  <Characters>8440</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2026-02-26T11:50:00Z</dcterms:created>
  <dcterms:modified xsi:type="dcterms:W3CDTF">2026-02-27T07:38:00Z</dcterms:modified>
</cp:coreProperties>
</file>