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DD40F4" w14:textId="77777777" w:rsidR="00B13B20" w:rsidRPr="00DD4663" w:rsidRDefault="00B13B20" w:rsidP="00B13B20">
      <w:pPr>
        <w:spacing w:after="0" w:line="240" w:lineRule="auto"/>
        <w:jc w:val="center"/>
        <w:rPr>
          <w:rFonts w:ascii="Times New Roman" w:hAnsi="Times New Roman" w:cs="Times New Roman"/>
          <w:b/>
          <w:sz w:val="28"/>
          <w:szCs w:val="28"/>
        </w:rPr>
      </w:pPr>
      <w:r w:rsidRPr="00DD4663">
        <w:rPr>
          <w:rFonts w:ascii="Times New Roman" w:hAnsi="Times New Roman" w:cs="Times New Roman"/>
          <w:b/>
          <w:sz w:val="28"/>
          <w:szCs w:val="28"/>
        </w:rPr>
        <w:t>Аналіз регуляторного впливу</w:t>
      </w:r>
    </w:p>
    <w:p w14:paraId="3E11980C" w14:textId="0FF1B6CE" w:rsidR="00F96072" w:rsidRDefault="00F96072" w:rsidP="00F96072">
      <w:pPr>
        <w:spacing w:after="0" w:line="240" w:lineRule="auto"/>
        <w:jc w:val="center"/>
        <w:rPr>
          <w:rFonts w:ascii="Times New Roman" w:hAnsi="Times New Roman" w:cs="Times New Roman"/>
          <w:b/>
          <w:sz w:val="28"/>
          <w:szCs w:val="28"/>
        </w:rPr>
      </w:pPr>
      <w:r w:rsidRPr="00F96072">
        <w:rPr>
          <w:rFonts w:ascii="Times New Roman" w:hAnsi="Times New Roman" w:cs="Times New Roman"/>
          <w:b/>
          <w:sz w:val="28"/>
          <w:szCs w:val="28"/>
        </w:rPr>
        <w:t xml:space="preserve">проекту рішення </w:t>
      </w:r>
      <w:r>
        <w:rPr>
          <w:rFonts w:ascii="Times New Roman" w:hAnsi="Times New Roman" w:cs="Times New Roman"/>
          <w:b/>
          <w:sz w:val="28"/>
          <w:szCs w:val="28"/>
        </w:rPr>
        <w:t>Петрівської</w:t>
      </w:r>
      <w:r w:rsidRPr="00F96072">
        <w:rPr>
          <w:rFonts w:ascii="Times New Roman" w:hAnsi="Times New Roman" w:cs="Times New Roman"/>
          <w:b/>
          <w:sz w:val="28"/>
          <w:szCs w:val="28"/>
        </w:rPr>
        <w:t xml:space="preserve"> </w:t>
      </w:r>
      <w:r>
        <w:rPr>
          <w:rFonts w:ascii="Times New Roman" w:hAnsi="Times New Roman" w:cs="Times New Roman"/>
          <w:b/>
          <w:sz w:val="28"/>
          <w:szCs w:val="28"/>
        </w:rPr>
        <w:t xml:space="preserve">сільської </w:t>
      </w:r>
      <w:r w:rsidRPr="00F96072">
        <w:rPr>
          <w:rFonts w:ascii="Times New Roman" w:hAnsi="Times New Roman" w:cs="Times New Roman"/>
          <w:b/>
          <w:sz w:val="28"/>
          <w:szCs w:val="28"/>
        </w:rPr>
        <w:t xml:space="preserve">ради </w:t>
      </w:r>
      <w:r>
        <w:rPr>
          <w:rFonts w:ascii="Times New Roman" w:hAnsi="Times New Roman" w:cs="Times New Roman"/>
          <w:b/>
          <w:sz w:val="28"/>
          <w:szCs w:val="28"/>
        </w:rPr>
        <w:t>Вишгородського району</w:t>
      </w:r>
      <w:r w:rsidRPr="00F96072">
        <w:rPr>
          <w:rFonts w:ascii="Times New Roman" w:hAnsi="Times New Roman" w:cs="Times New Roman"/>
          <w:b/>
          <w:sz w:val="28"/>
          <w:szCs w:val="28"/>
        </w:rPr>
        <w:t xml:space="preserve"> Київської області «Про затвердження технічної документації з нормативної грошової оцінки земель населеного пункту </w:t>
      </w:r>
      <w:r>
        <w:rPr>
          <w:rFonts w:ascii="Times New Roman" w:hAnsi="Times New Roman" w:cs="Times New Roman"/>
          <w:b/>
          <w:sz w:val="28"/>
          <w:szCs w:val="28"/>
        </w:rPr>
        <w:t>села</w:t>
      </w:r>
      <w:r w:rsidRPr="00F96072">
        <w:rPr>
          <w:rFonts w:ascii="Times New Roman" w:hAnsi="Times New Roman" w:cs="Times New Roman"/>
          <w:b/>
          <w:sz w:val="28"/>
          <w:szCs w:val="28"/>
        </w:rPr>
        <w:t xml:space="preserve"> </w:t>
      </w:r>
      <w:r w:rsidR="007F11D7">
        <w:rPr>
          <w:rFonts w:ascii="Times New Roman" w:hAnsi="Times New Roman" w:cs="Times New Roman"/>
          <w:b/>
          <w:sz w:val="28"/>
          <w:szCs w:val="28"/>
        </w:rPr>
        <w:t>Лютіж</w:t>
      </w:r>
      <w:r w:rsidRPr="00F96072">
        <w:rPr>
          <w:rFonts w:ascii="Times New Roman" w:hAnsi="Times New Roman" w:cs="Times New Roman"/>
          <w:b/>
          <w:sz w:val="28"/>
          <w:szCs w:val="28"/>
        </w:rPr>
        <w:t xml:space="preserve"> </w:t>
      </w:r>
      <w:r>
        <w:rPr>
          <w:rFonts w:ascii="Times New Roman" w:hAnsi="Times New Roman" w:cs="Times New Roman"/>
          <w:b/>
          <w:sz w:val="28"/>
          <w:szCs w:val="28"/>
        </w:rPr>
        <w:t>Вишгородського</w:t>
      </w:r>
      <w:r w:rsidRPr="00F96072">
        <w:rPr>
          <w:rFonts w:ascii="Times New Roman" w:hAnsi="Times New Roman" w:cs="Times New Roman"/>
          <w:b/>
          <w:sz w:val="28"/>
          <w:szCs w:val="28"/>
        </w:rPr>
        <w:t xml:space="preserve"> району Київської області»</w:t>
      </w:r>
    </w:p>
    <w:p w14:paraId="4402E22B" w14:textId="77777777" w:rsidR="00F96072" w:rsidRPr="00F96072" w:rsidRDefault="00F96072" w:rsidP="00F96072">
      <w:pPr>
        <w:spacing w:after="0" w:line="240" w:lineRule="auto"/>
        <w:jc w:val="center"/>
        <w:rPr>
          <w:rFonts w:ascii="Times New Roman" w:hAnsi="Times New Roman" w:cs="Times New Roman"/>
          <w:b/>
          <w:sz w:val="28"/>
          <w:szCs w:val="28"/>
        </w:rPr>
      </w:pPr>
    </w:p>
    <w:p w14:paraId="3DAB7558" w14:textId="501C82BC" w:rsidR="00F96072" w:rsidRDefault="00F96072" w:rsidP="00F96072">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Аналіз регуляторного впливу проекту рішення </w:t>
      </w:r>
      <w:r>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«Про затвердження технічної документації з нормативної грошової оцінки земель населеного пункту села </w:t>
      </w:r>
      <w:r w:rsidR="007F11D7">
        <w:rPr>
          <w:rFonts w:ascii="Times New Roman" w:hAnsi="Times New Roman" w:cs="Times New Roman"/>
          <w:sz w:val="28"/>
          <w:szCs w:val="28"/>
        </w:rPr>
        <w:t>Лютіж</w:t>
      </w:r>
      <w:r w:rsidRPr="00F96072">
        <w:rPr>
          <w:rFonts w:ascii="Times New Roman" w:hAnsi="Times New Roman" w:cs="Times New Roman"/>
          <w:sz w:val="28"/>
          <w:szCs w:val="28"/>
        </w:rPr>
        <w:t xml:space="preserve"> Вишгородського району Київської області» підготовлено згідно з вимогами ст.ст. 12, 271, 274, 289 Податкового кодексу України, ст.ст. 12, 201 Земельного кодексу України, ст.ст. 5, 6, 13, 15, 18, 20, 23 Закону України «Про оцінку земель», ч. 7 ст. 21 Закону України «Про Державний земельний кадастр», Закону України «Про засади державної регуляторної політики у сфері господарської діяльності», Методики проведення аналізу впливу регуляторного акту та Методики відстеження результативності регуляторного акта, затверджених постановою Кабінету Міністрів України від 11.03.2004р. № 308, пункту 24 частини першої статті 26 Закону України «Про місцеве самоврядування в Україні». </w:t>
      </w:r>
    </w:p>
    <w:p w14:paraId="75C1961E" w14:textId="77777777" w:rsidR="00F96072" w:rsidRDefault="00F96072" w:rsidP="00F96072">
      <w:pPr>
        <w:spacing w:after="0" w:line="240" w:lineRule="auto"/>
        <w:ind w:firstLine="708"/>
        <w:rPr>
          <w:rFonts w:ascii="Times New Roman" w:hAnsi="Times New Roman" w:cs="Times New Roman"/>
          <w:sz w:val="28"/>
          <w:szCs w:val="28"/>
        </w:rPr>
      </w:pPr>
    </w:p>
    <w:p w14:paraId="1EA90558" w14:textId="7471058F" w:rsidR="00F96072" w:rsidRP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Назва регуляторного акта</w:t>
      </w:r>
      <w:r w:rsidRPr="00F96072">
        <w:rPr>
          <w:rFonts w:ascii="Times New Roman" w:hAnsi="Times New Roman" w:cs="Times New Roman"/>
          <w:sz w:val="28"/>
          <w:szCs w:val="28"/>
        </w:rPr>
        <w:t xml:space="preserve">: проект рішення Петрівської сільської ради «Про затвердження технічної документації з нормативної грошової оцінки земель населеного пункту села </w:t>
      </w:r>
      <w:r w:rsidR="007F11D7">
        <w:rPr>
          <w:rFonts w:ascii="Times New Roman" w:hAnsi="Times New Roman" w:cs="Times New Roman"/>
          <w:sz w:val="28"/>
          <w:szCs w:val="28"/>
        </w:rPr>
        <w:t>Лютіж</w:t>
      </w:r>
      <w:r w:rsidR="004B3EFE">
        <w:rPr>
          <w:rFonts w:ascii="Times New Roman" w:hAnsi="Times New Roman" w:cs="Times New Roman"/>
          <w:sz w:val="28"/>
          <w:szCs w:val="28"/>
        </w:rPr>
        <w:t xml:space="preserve"> </w:t>
      </w:r>
      <w:r w:rsidRPr="00F96072">
        <w:rPr>
          <w:rFonts w:ascii="Times New Roman" w:hAnsi="Times New Roman" w:cs="Times New Roman"/>
          <w:sz w:val="28"/>
          <w:szCs w:val="28"/>
        </w:rPr>
        <w:t xml:space="preserve"> Вишгородського Київської області». </w:t>
      </w:r>
    </w:p>
    <w:p w14:paraId="553ED1F7" w14:textId="77777777" w:rsidR="00F96072" w:rsidRDefault="00F96072" w:rsidP="004A791F">
      <w:pPr>
        <w:spacing w:after="0" w:line="240" w:lineRule="auto"/>
        <w:ind w:firstLine="708"/>
        <w:jc w:val="both"/>
        <w:rPr>
          <w:rFonts w:ascii="Times New Roman" w:hAnsi="Times New Roman" w:cs="Times New Roman"/>
          <w:sz w:val="28"/>
          <w:szCs w:val="28"/>
        </w:rPr>
      </w:pPr>
    </w:p>
    <w:p w14:paraId="6609D821"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Регуляторний орган</w:t>
      </w:r>
      <w:r w:rsidRPr="00F96072">
        <w:rPr>
          <w:rFonts w:ascii="Times New Roman" w:hAnsi="Times New Roman" w:cs="Times New Roman"/>
          <w:sz w:val="28"/>
          <w:szCs w:val="28"/>
        </w:rPr>
        <w:t xml:space="preserve">: </w:t>
      </w:r>
      <w:r>
        <w:rPr>
          <w:rFonts w:ascii="Times New Roman" w:hAnsi="Times New Roman" w:cs="Times New Roman"/>
          <w:sz w:val="28"/>
          <w:szCs w:val="28"/>
        </w:rPr>
        <w:t xml:space="preserve">Петрівська сільська </w:t>
      </w:r>
      <w:r w:rsidRPr="00F96072">
        <w:rPr>
          <w:rFonts w:ascii="Times New Roman" w:hAnsi="Times New Roman" w:cs="Times New Roman"/>
          <w:sz w:val="28"/>
          <w:szCs w:val="28"/>
        </w:rPr>
        <w:t xml:space="preserve">рада </w:t>
      </w:r>
      <w:r>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w:t>
      </w:r>
    </w:p>
    <w:p w14:paraId="22B55D4E"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Розробник документа</w:t>
      </w:r>
      <w:r w:rsidRPr="00F96072">
        <w:rPr>
          <w:rFonts w:ascii="Times New Roman" w:hAnsi="Times New Roman" w:cs="Times New Roman"/>
          <w:sz w:val="28"/>
          <w:szCs w:val="28"/>
        </w:rPr>
        <w:t xml:space="preserve">: відділ </w:t>
      </w:r>
      <w:r>
        <w:rPr>
          <w:rFonts w:ascii="Times New Roman" w:hAnsi="Times New Roman" w:cs="Times New Roman"/>
          <w:sz w:val="28"/>
          <w:szCs w:val="28"/>
        </w:rPr>
        <w:t>з питань архітектури та земельних відносин Петрівської сільської ради</w:t>
      </w:r>
      <w:r w:rsidRPr="00F96072">
        <w:rPr>
          <w:rFonts w:ascii="Times New Roman" w:hAnsi="Times New Roman" w:cs="Times New Roman"/>
          <w:sz w:val="28"/>
          <w:szCs w:val="28"/>
        </w:rPr>
        <w:t xml:space="preserve">. </w:t>
      </w:r>
    </w:p>
    <w:p w14:paraId="22C941B8" w14:textId="77777777" w:rsidR="00F96072" w:rsidRDefault="00F96072" w:rsidP="004A791F">
      <w:pPr>
        <w:spacing w:after="0" w:line="240" w:lineRule="auto"/>
        <w:ind w:firstLine="708"/>
        <w:jc w:val="both"/>
        <w:rPr>
          <w:rFonts w:ascii="Times New Roman" w:hAnsi="Times New Roman" w:cs="Times New Roman"/>
          <w:sz w:val="28"/>
          <w:szCs w:val="28"/>
        </w:rPr>
      </w:pPr>
    </w:p>
    <w:p w14:paraId="1DEAF528"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b/>
          <w:sz w:val="28"/>
          <w:szCs w:val="28"/>
        </w:rPr>
        <w:t>1. Визначення та аналіз проблеми, яку пропонується розв’язати шляхом регулювання господарських відносин, оцінка важливості цієї проблеми.</w:t>
      </w:r>
      <w:r w:rsidRPr="00F96072">
        <w:rPr>
          <w:rFonts w:ascii="Times New Roman" w:hAnsi="Times New Roman" w:cs="Times New Roman"/>
          <w:sz w:val="28"/>
          <w:szCs w:val="28"/>
        </w:rPr>
        <w:t xml:space="preserve"> </w:t>
      </w:r>
    </w:p>
    <w:p w14:paraId="59CBB3AE"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Практичне здійснення земельної реформи, упровадження приватної власності на земельні ділянки і платний характер використання землі вимагає створення економічного механізму регулювання земельних відносин, важливим елементом якого є оцінка землі. </w:t>
      </w:r>
    </w:p>
    <w:p w14:paraId="76B9043B"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Велике значення в створенні економічних принципів регулювання земельних відносин належить грошовій оцінці, що в умовах перехідного періоду до ринкової економіки дає можливість провести першочергову приватизацію земельних ділянок, створити об’єктивну основу для оподаткування земель. </w:t>
      </w:r>
    </w:p>
    <w:p w14:paraId="32E44C76"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Прийняті на державному рівні ряд законодавчих актів про плату за землю, про оцінку земель, про приватизацію земельних ділянок дозволили ввести грошову оцінку у правове поле регулювання земельних відносин. Грошова оцінка стає одним із ключових елементів у реалізації державної політики оподаткування і ціноутворення. </w:t>
      </w:r>
    </w:p>
    <w:p w14:paraId="7B561C9C"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Сферу застосування грошової оцінки земель визначає Земельний кодекс України, Податковий кодекс України, Закон України «Про оцінку земель», Методика нормативної гро</w:t>
      </w:r>
      <w:r>
        <w:rPr>
          <w:rFonts w:ascii="Times New Roman" w:hAnsi="Times New Roman" w:cs="Times New Roman"/>
          <w:sz w:val="28"/>
          <w:szCs w:val="28"/>
        </w:rPr>
        <w:t>шової оцінки земельних ділянок.</w:t>
      </w:r>
    </w:p>
    <w:p w14:paraId="31949365"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Грошова оцінка застосовується для економічного регулювання земельних відносин при складанні ці вільно-правових угод, передбачених чинним законодавством України. Нормативна грошова оцінка земельних ділянок використовується для: </w:t>
      </w:r>
    </w:p>
    <w:p w14:paraId="2BE753F2"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визначення розміру земельного податку, </w:t>
      </w:r>
    </w:p>
    <w:p w14:paraId="648C44FA"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державного мита при міні, спадкуванні та даруванні земельних ділянок згідно із законом, </w:t>
      </w:r>
    </w:p>
    <w:p w14:paraId="743F1165"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орендної плати за земельні ділянки державної та комунальної власності, </w:t>
      </w:r>
    </w:p>
    <w:p w14:paraId="328B4315"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втрат лісогосподарського виробництва, </w:t>
      </w:r>
    </w:p>
    <w:p w14:paraId="23994BFB"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відчуження земельних ділянок площею понад 50 гектарів, що належать до державної або комунальної власності для відкритих спортивних і </w:t>
      </w:r>
      <w:proofErr w:type="spellStart"/>
      <w:r w:rsidRPr="00F96072">
        <w:rPr>
          <w:rFonts w:ascii="Times New Roman" w:hAnsi="Times New Roman" w:cs="Times New Roman"/>
          <w:sz w:val="28"/>
          <w:szCs w:val="28"/>
        </w:rPr>
        <w:t>фізкультурнооздоровчих</w:t>
      </w:r>
      <w:proofErr w:type="spellEnd"/>
      <w:r w:rsidRPr="00F96072">
        <w:rPr>
          <w:rFonts w:ascii="Times New Roman" w:hAnsi="Times New Roman" w:cs="Times New Roman"/>
          <w:sz w:val="28"/>
          <w:szCs w:val="28"/>
        </w:rPr>
        <w:t xml:space="preserve"> споруд, </w:t>
      </w:r>
    </w:p>
    <w:p w14:paraId="4B049D5F"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при розробці показників та механізмів економічного стимулювання раціонального використання та охорони земель. </w:t>
      </w:r>
    </w:p>
    <w:p w14:paraId="0B162067"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Відповідно до статті 206 Земельного кодексу України використання землі в Україні є платним. Об’єктом плати за землю є земельна ділянка.</w:t>
      </w:r>
    </w:p>
    <w:p w14:paraId="6AE5CF8E"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Згідно з п. 14.1.72. ст. 14 Податкового кодексу України земельний податок - обов'язковий платіж, що справляється з власників земельних ділянок та земельних часток (паїв), а також постійних землекористувачів.</w:t>
      </w:r>
    </w:p>
    <w:p w14:paraId="0D586703"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Згідно зі статтею 201 Земельного кодексу України нормативна грошова оцінка земельних ділянок використовується для визначення розміру земельного податку, втрат лісогосподарського виробництва, економічного стимулювання раціонального використання та охорони земель тощо.</w:t>
      </w:r>
    </w:p>
    <w:p w14:paraId="13748B46"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ст. 5 Закону України «Про оцінку земель» нормативна грошова оцінка земельних ділянок використовується для визначення розміру земельного податку, державного мита при міні, спадкуванні (крім випадків спадкування спадкоємцями першої та другої черги за законом (як випадків спадкування ними за законом, так і випадків спадкування ними за заповітом) і за правом представлення, а також випадків спадкування власності, вартість якої оподатковується за нульовою ставкою) та даруванні земельних ділянок згідно із законом, орендної плати за земельні ділянки державної та комунальної власності, втрат лісогосподарського виробництва, вартості земельних ділянок площею понад 50 гектарів для розміщення відкритих спортивних і фізкультурно-оздоровчих споруд, а також при розробці показників та механізмів економічного стимулювання раціонального використання та охорони земель. </w:t>
      </w:r>
    </w:p>
    <w:p w14:paraId="790FC435"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Статтями 274 та 288 Податкового кодексу України визначено, що ставки земельного податку та розмір орендної плати встановлюються у відсотках від нормативної грошової оцінки земельних ділянок. </w:t>
      </w:r>
    </w:p>
    <w:p w14:paraId="6CE725E7" w14:textId="77777777" w:rsidR="00F96072" w:rsidRDefault="00F96072" w:rsidP="004A791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Податковим законодавством України не передбачено встановлення ставок земельного податку чи обчислення плати за землю на території </w:t>
      </w:r>
      <w:r w:rsidRPr="00F96072">
        <w:rPr>
          <w:rFonts w:ascii="Times New Roman" w:hAnsi="Times New Roman" w:cs="Times New Roman"/>
          <w:sz w:val="28"/>
          <w:szCs w:val="28"/>
        </w:rPr>
        <w:lastRenderedPageBreak/>
        <w:t xml:space="preserve">населених пунктів без використання нормативної грошової оцінки земель як бази оподаткування. </w:t>
      </w:r>
    </w:p>
    <w:p w14:paraId="7AA60A79" w14:textId="314CA1B7" w:rsidR="001437C0" w:rsidRPr="008C6632" w:rsidRDefault="00F96072" w:rsidP="004B3EFE">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 xml:space="preserve">Рішенням </w:t>
      </w:r>
      <w:r w:rsidR="004B3EFE">
        <w:rPr>
          <w:rFonts w:ascii="Times New Roman" w:hAnsi="Times New Roman" w:cs="Times New Roman"/>
          <w:sz w:val="28"/>
          <w:szCs w:val="28"/>
        </w:rPr>
        <w:t>сімдесят сьомої</w:t>
      </w:r>
      <w:r w:rsidR="008A1098" w:rsidRPr="008C6632">
        <w:rPr>
          <w:rFonts w:ascii="Times New Roman" w:hAnsi="Times New Roman" w:cs="Times New Roman"/>
          <w:sz w:val="28"/>
          <w:szCs w:val="28"/>
        </w:rPr>
        <w:t xml:space="preserve"> сесії</w:t>
      </w:r>
      <w:r w:rsidRPr="008C6632">
        <w:rPr>
          <w:rFonts w:ascii="Times New Roman" w:hAnsi="Times New Roman" w:cs="Times New Roman"/>
          <w:sz w:val="28"/>
          <w:szCs w:val="28"/>
        </w:rPr>
        <w:t xml:space="preserve"> </w:t>
      </w:r>
      <w:r w:rsidR="008A1098" w:rsidRPr="008C6632">
        <w:rPr>
          <w:rFonts w:ascii="Times New Roman" w:hAnsi="Times New Roman" w:cs="Times New Roman"/>
          <w:sz w:val="28"/>
          <w:szCs w:val="28"/>
        </w:rPr>
        <w:t>Петрівської сільської</w:t>
      </w:r>
      <w:r w:rsidRPr="008C6632">
        <w:rPr>
          <w:rFonts w:ascii="Times New Roman" w:hAnsi="Times New Roman" w:cs="Times New Roman"/>
          <w:sz w:val="28"/>
          <w:szCs w:val="28"/>
        </w:rPr>
        <w:t xml:space="preserve"> ради </w:t>
      </w:r>
      <w:r w:rsidR="008A1098" w:rsidRPr="008C6632">
        <w:rPr>
          <w:rFonts w:ascii="Times New Roman" w:hAnsi="Times New Roman" w:cs="Times New Roman"/>
          <w:sz w:val="28"/>
          <w:szCs w:val="28"/>
        </w:rPr>
        <w:t>восьмого</w:t>
      </w:r>
      <w:r w:rsidRPr="008C6632">
        <w:rPr>
          <w:rFonts w:ascii="Times New Roman" w:hAnsi="Times New Roman" w:cs="Times New Roman"/>
          <w:sz w:val="28"/>
          <w:szCs w:val="28"/>
        </w:rPr>
        <w:t xml:space="preserve"> скликання від </w:t>
      </w:r>
      <w:r w:rsidR="004B3EFE">
        <w:rPr>
          <w:rFonts w:ascii="Times New Roman" w:hAnsi="Times New Roman" w:cs="Times New Roman"/>
          <w:sz w:val="28"/>
          <w:szCs w:val="28"/>
        </w:rPr>
        <w:t>21</w:t>
      </w:r>
      <w:r w:rsidR="008A1098" w:rsidRPr="008C6632">
        <w:rPr>
          <w:rFonts w:ascii="Times New Roman" w:hAnsi="Times New Roman" w:cs="Times New Roman"/>
          <w:sz w:val="28"/>
          <w:szCs w:val="28"/>
        </w:rPr>
        <w:t>.</w:t>
      </w:r>
      <w:r w:rsidR="004B3EFE">
        <w:rPr>
          <w:rFonts w:ascii="Times New Roman" w:hAnsi="Times New Roman" w:cs="Times New Roman"/>
          <w:sz w:val="28"/>
          <w:szCs w:val="28"/>
        </w:rPr>
        <w:t>11</w:t>
      </w:r>
      <w:r w:rsidR="008A1098" w:rsidRPr="008C6632">
        <w:rPr>
          <w:rFonts w:ascii="Times New Roman" w:hAnsi="Times New Roman" w:cs="Times New Roman"/>
          <w:sz w:val="28"/>
          <w:szCs w:val="28"/>
        </w:rPr>
        <w:t>.202</w:t>
      </w:r>
      <w:r w:rsidR="004B3EFE">
        <w:rPr>
          <w:rFonts w:ascii="Times New Roman" w:hAnsi="Times New Roman" w:cs="Times New Roman"/>
          <w:sz w:val="28"/>
          <w:szCs w:val="28"/>
        </w:rPr>
        <w:t>5</w:t>
      </w:r>
      <w:r w:rsidRPr="008C6632">
        <w:rPr>
          <w:rFonts w:ascii="Times New Roman" w:hAnsi="Times New Roman" w:cs="Times New Roman"/>
          <w:sz w:val="28"/>
          <w:szCs w:val="28"/>
        </w:rPr>
        <w:t xml:space="preserve"> №</w:t>
      </w:r>
      <w:r w:rsidR="004B3EFE">
        <w:rPr>
          <w:rFonts w:ascii="Times New Roman" w:hAnsi="Times New Roman" w:cs="Times New Roman"/>
          <w:sz w:val="28"/>
          <w:szCs w:val="28"/>
        </w:rPr>
        <w:t>3024</w:t>
      </w:r>
      <w:r w:rsidRPr="008C6632">
        <w:rPr>
          <w:rFonts w:ascii="Times New Roman" w:hAnsi="Times New Roman" w:cs="Times New Roman"/>
          <w:sz w:val="28"/>
          <w:szCs w:val="28"/>
        </w:rPr>
        <w:t xml:space="preserve"> «</w:t>
      </w:r>
      <w:r w:rsidR="00AB2161">
        <w:rPr>
          <w:rFonts w:ascii="Times New Roman" w:hAnsi="Times New Roman" w:cs="Times New Roman"/>
          <w:sz w:val="28"/>
          <w:szCs w:val="28"/>
        </w:rPr>
        <w:t xml:space="preserve">Про надання дозволу на проведення нормативної грошової оцінки </w:t>
      </w:r>
      <w:r w:rsidRPr="008C6632">
        <w:rPr>
          <w:rFonts w:ascii="Times New Roman" w:hAnsi="Times New Roman" w:cs="Times New Roman"/>
          <w:sz w:val="28"/>
          <w:szCs w:val="28"/>
        </w:rPr>
        <w:t xml:space="preserve">земель </w:t>
      </w:r>
      <w:r w:rsidR="008A1098" w:rsidRPr="008C6632">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008A1098" w:rsidRPr="008C6632">
        <w:rPr>
          <w:rFonts w:ascii="Times New Roman" w:hAnsi="Times New Roman" w:cs="Times New Roman"/>
          <w:sz w:val="28"/>
          <w:szCs w:val="28"/>
        </w:rPr>
        <w:t xml:space="preserve"> Петрівської сільської територіально громади Вишгородського району Київської області</w:t>
      </w:r>
      <w:r w:rsidRPr="008C6632">
        <w:rPr>
          <w:rFonts w:ascii="Times New Roman" w:hAnsi="Times New Roman" w:cs="Times New Roman"/>
          <w:sz w:val="28"/>
          <w:szCs w:val="28"/>
        </w:rPr>
        <w:t xml:space="preserve">» затверджено технічну документацію з нормативної грошової оцінки земель </w:t>
      </w:r>
      <w:r w:rsidR="0022358C" w:rsidRPr="008C6632">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0022358C" w:rsidRPr="008C6632">
        <w:rPr>
          <w:rFonts w:ascii="Times New Roman" w:hAnsi="Times New Roman" w:cs="Times New Roman"/>
          <w:sz w:val="28"/>
          <w:szCs w:val="28"/>
        </w:rPr>
        <w:t xml:space="preserve"> Вишгородського району Київської області</w:t>
      </w:r>
      <w:r w:rsidRPr="008C6632">
        <w:rPr>
          <w:rFonts w:ascii="Times New Roman" w:hAnsi="Times New Roman" w:cs="Times New Roman"/>
          <w:sz w:val="28"/>
          <w:szCs w:val="28"/>
        </w:rPr>
        <w:t xml:space="preserve">.  </w:t>
      </w:r>
    </w:p>
    <w:p w14:paraId="4EECB207" w14:textId="77777777" w:rsidR="008A1098" w:rsidRDefault="00F96072" w:rsidP="001924FF">
      <w:pPr>
        <w:spacing w:after="0" w:line="240" w:lineRule="auto"/>
        <w:ind w:firstLine="708"/>
        <w:jc w:val="both"/>
        <w:rPr>
          <w:rFonts w:ascii="Times New Roman" w:hAnsi="Times New Roman" w:cs="Times New Roman"/>
          <w:sz w:val="28"/>
          <w:szCs w:val="28"/>
        </w:rPr>
      </w:pPr>
      <w:r w:rsidRPr="008C6632">
        <w:rPr>
          <w:rFonts w:ascii="Times New Roman" w:hAnsi="Times New Roman" w:cs="Times New Roman"/>
          <w:sz w:val="28"/>
          <w:szCs w:val="28"/>
        </w:rPr>
        <w:t>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w:t>
      </w:r>
      <w:r w:rsidR="0022358C" w:rsidRPr="008C6632">
        <w:rPr>
          <w:rFonts w:ascii="Times New Roman" w:hAnsi="Times New Roman" w:cs="Times New Roman"/>
          <w:sz w:val="28"/>
          <w:szCs w:val="28"/>
        </w:rPr>
        <w:t>-</w:t>
      </w:r>
      <w:r w:rsidRPr="008C6632">
        <w:rPr>
          <w:rFonts w:ascii="Times New Roman" w:hAnsi="Times New Roman" w:cs="Times New Roman"/>
          <w:sz w:val="28"/>
          <w:szCs w:val="28"/>
        </w:rPr>
        <w:t>7 років.</w:t>
      </w:r>
      <w:r w:rsidRPr="00F96072">
        <w:rPr>
          <w:rFonts w:ascii="Times New Roman" w:hAnsi="Times New Roman" w:cs="Times New Roman"/>
          <w:sz w:val="28"/>
          <w:szCs w:val="28"/>
        </w:rPr>
        <w:t xml:space="preserve"> </w:t>
      </w:r>
    </w:p>
    <w:p w14:paraId="697689F0" w14:textId="70F94BE9" w:rsidR="001437C0"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Отже, запровадження з 01.01.202</w:t>
      </w:r>
      <w:r w:rsidR="004B3EFE">
        <w:rPr>
          <w:rFonts w:ascii="Times New Roman" w:hAnsi="Times New Roman" w:cs="Times New Roman"/>
          <w:sz w:val="28"/>
          <w:szCs w:val="28"/>
        </w:rPr>
        <w:t>7</w:t>
      </w:r>
      <w:r w:rsidRPr="00F96072">
        <w:rPr>
          <w:rFonts w:ascii="Times New Roman" w:hAnsi="Times New Roman" w:cs="Times New Roman"/>
          <w:sz w:val="28"/>
          <w:szCs w:val="28"/>
        </w:rPr>
        <w:t xml:space="preserve"> року нормативної грошової оцінки земель </w:t>
      </w:r>
      <w:r w:rsidR="001437C0">
        <w:rPr>
          <w:rFonts w:ascii="Times New Roman" w:hAnsi="Times New Roman" w:cs="Times New Roman"/>
          <w:sz w:val="28"/>
          <w:szCs w:val="28"/>
        </w:rPr>
        <w:t>с</w:t>
      </w:r>
      <w:r w:rsidR="0022358C">
        <w:rPr>
          <w:rFonts w:ascii="Times New Roman" w:hAnsi="Times New Roman" w:cs="Times New Roman"/>
          <w:sz w:val="28"/>
          <w:szCs w:val="28"/>
        </w:rPr>
        <w:t xml:space="preserve">ела </w:t>
      </w:r>
      <w:r w:rsidR="007F11D7">
        <w:rPr>
          <w:rFonts w:ascii="Times New Roman" w:hAnsi="Times New Roman" w:cs="Times New Roman"/>
          <w:sz w:val="28"/>
          <w:szCs w:val="28"/>
        </w:rPr>
        <w:t>Лютіж</w:t>
      </w:r>
      <w:r w:rsidR="001437C0">
        <w:rPr>
          <w:rFonts w:ascii="Times New Roman" w:hAnsi="Times New Roman" w:cs="Times New Roman"/>
          <w:sz w:val="28"/>
          <w:szCs w:val="28"/>
        </w:rPr>
        <w:t xml:space="preserve"> Вишгородського району</w:t>
      </w:r>
      <w:r w:rsidRPr="00F96072">
        <w:rPr>
          <w:rFonts w:ascii="Times New Roman" w:hAnsi="Times New Roman" w:cs="Times New Roman"/>
          <w:sz w:val="28"/>
          <w:szCs w:val="28"/>
        </w:rPr>
        <w:t xml:space="preserve"> Київської області обумовлене необхідністю дотримання термінів проведення такої оцінки, визначених чинним законодавством України. </w:t>
      </w:r>
    </w:p>
    <w:p w14:paraId="03969C66" w14:textId="3A1FD723" w:rsidR="009731A6"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 зв’язку з необхідністю дотримання строків проведення нормативної грошової оцінки земель </w:t>
      </w:r>
      <w:r w:rsidR="00D31F01">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Pr="00F96072">
        <w:rPr>
          <w:rFonts w:ascii="Times New Roman" w:hAnsi="Times New Roman" w:cs="Times New Roman"/>
          <w:sz w:val="28"/>
          <w:szCs w:val="28"/>
        </w:rPr>
        <w:t xml:space="preserve">, поповнення </w:t>
      </w:r>
      <w:r w:rsidR="00D31F01">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за рахунок її перегляду, з метою забезпечення економічного регулювання земельних відносин, підвищення ефективності використання земель </w:t>
      </w:r>
      <w:r w:rsidR="009731A6">
        <w:rPr>
          <w:rFonts w:ascii="Times New Roman" w:hAnsi="Times New Roman" w:cs="Times New Roman"/>
          <w:sz w:val="28"/>
          <w:szCs w:val="28"/>
        </w:rPr>
        <w:t>в селі</w:t>
      </w:r>
      <w:r w:rsidRPr="00F96072">
        <w:rPr>
          <w:rFonts w:ascii="Times New Roman" w:hAnsi="Times New Roman" w:cs="Times New Roman"/>
          <w:sz w:val="28"/>
          <w:szCs w:val="28"/>
        </w:rPr>
        <w:t xml:space="preserve"> </w:t>
      </w:r>
      <w:r w:rsidR="007F11D7">
        <w:rPr>
          <w:rFonts w:ascii="Times New Roman" w:hAnsi="Times New Roman" w:cs="Times New Roman"/>
          <w:sz w:val="28"/>
          <w:szCs w:val="28"/>
        </w:rPr>
        <w:t>Лютіж</w:t>
      </w:r>
      <w:r w:rsidRPr="00F96072">
        <w:rPr>
          <w:rFonts w:ascii="Times New Roman" w:hAnsi="Times New Roman" w:cs="Times New Roman"/>
          <w:sz w:val="28"/>
          <w:szCs w:val="28"/>
        </w:rPr>
        <w:t xml:space="preserve">, керуючись нормами статті 15 Закону України «Про оцінку земель», Законом України «Про місцеве самоврядування в Україні», </w:t>
      </w:r>
      <w:r w:rsidR="009731A6">
        <w:rPr>
          <w:rFonts w:ascii="Times New Roman" w:hAnsi="Times New Roman" w:cs="Times New Roman"/>
          <w:sz w:val="28"/>
          <w:szCs w:val="28"/>
        </w:rPr>
        <w:t xml:space="preserve">Петрівською </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було прийнято рішення від </w:t>
      </w:r>
      <w:r w:rsidR="004B3EFE">
        <w:rPr>
          <w:rFonts w:ascii="Times New Roman" w:hAnsi="Times New Roman" w:cs="Times New Roman"/>
          <w:sz w:val="28"/>
          <w:szCs w:val="28"/>
        </w:rPr>
        <w:t>21</w:t>
      </w:r>
      <w:r w:rsidR="009731A6">
        <w:rPr>
          <w:rFonts w:ascii="Times New Roman" w:hAnsi="Times New Roman" w:cs="Times New Roman"/>
          <w:sz w:val="28"/>
          <w:szCs w:val="28"/>
        </w:rPr>
        <w:t>.1</w:t>
      </w:r>
      <w:r w:rsidR="004B3EFE">
        <w:rPr>
          <w:rFonts w:ascii="Times New Roman" w:hAnsi="Times New Roman" w:cs="Times New Roman"/>
          <w:sz w:val="28"/>
          <w:szCs w:val="28"/>
        </w:rPr>
        <w:t>1</w:t>
      </w:r>
      <w:r w:rsidR="009731A6">
        <w:rPr>
          <w:rFonts w:ascii="Times New Roman" w:hAnsi="Times New Roman" w:cs="Times New Roman"/>
          <w:sz w:val="28"/>
          <w:szCs w:val="28"/>
        </w:rPr>
        <w:t>.202</w:t>
      </w:r>
      <w:r w:rsidR="004B3EFE">
        <w:rPr>
          <w:rFonts w:ascii="Times New Roman" w:hAnsi="Times New Roman" w:cs="Times New Roman"/>
          <w:sz w:val="28"/>
          <w:szCs w:val="28"/>
        </w:rPr>
        <w:t>5</w:t>
      </w:r>
      <w:r w:rsidRPr="00F96072">
        <w:rPr>
          <w:rFonts w:ascii="Times New Roman" w:hAnsi="Times New Roman" w:cs="Times New Roman"/>
          <w:sz w:val="28"/>
          <w:szCs w:val="28"/>
        </w:rPr>
        <w:t>. №</w:t>
      </w:r>
      <w:r w:rsidR="004B3EFE">
        <w:rPr>
          <w:rFonts w:ascii="Times New Roman" w:hAnsi="Times New Roman" w:cs="Times New Roman"/>
          <w:sz w:val="28"/>
          <w:szCs w:val="28"/>
        </w:rPr>
        <w:t>3024</w:t>
      </w:r>
      <w:r w:rsidRPr="00F96072">
        <w:rPr>
          <w:rFonts w:ascii="Times New Roman" w:hAnsi="Times New Roman" w:cs="Times New Roman"/>
          <w:sz w:val="28"/>
          <w:szCs w:val="28"/>
        </w:rPr>
        <w:t xml:space="preserve"> «Про </w:t>
      </w:r>
      <w:r w:rsidR="009731A6">
        <w:rPr>
          <w:rFonts w:ascii="Times New Roman" w:hAnsi="Times New Roman" w:cs="Times New Roman"/>
          <w:sz w:val="28"/>
          <w:szCs w:val="28"/>
        </w:rPr>
        <w:t xml:space="preserve">проведення нормативної грошової оцінки земель села </w:t>
      </w:r>
      <w:r w:rsidR="007F11D7">
        <w:rPr>
          <w:rFonts w:ascii="Times New Roman" w:hAnsi="Times New Roman" w:cs="Times New Roman"/>
          <w:sz w:val="28"/>
          <w:szCs w:val="28"/>
        </w:rPr>
        <w:t>Лютіж</w:t>
      </w:r>
      <w:r w:rsidR="009731A6">
        <w:rPr>
          <w:rFonts w:ascii="Times New Roman" w:hAnsi="Times New Roman" w:cs="Times New Roman"/>
          <w:sz w:val="28"/>
          <w:szCs w:val="28"/>
        </w:rPr>
        <w:t>»</w:t>
      </w:r>
      <w:r w:rsidRPr="00F96072">
        <w:rPr>
          <w:rFonts w:ascii="Times New Roman" w:hAnsi="Times New Roman" w:cs="Times New Roman"/>
          <w:sz w:val="28"/>
          <w:szCs w:val="28"/>
        </w:rPr>
        <w:t xml:space="preserve"> На виконання зазначеного рішення </w:t>
      </w:r>
      <w:r w:rsidR="009731A6">
        <w:rPr>
          <w:rFonts w:ascii="Times New Roman" w:hAnsi="Times New Roman" w:cs="Times New Roman"/>
          <w:sz w:val="28"/>
          <w:szCs w:val="28"/>
        </w:rPr>
        <w:t>Петрівською</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w:t>
      </w:r>
      <w:r w:rsidR="009731A6">
        <w:rPr>
          <w:rFonts w:ascii="Times New Roman" w:hAnsi="Times New Roman" w:cs="Times New Roman"/>
          <w:sz w:val="28"/>
          <w:szCs w:val="28"/>
        </w:rPr>
        <w:t>ою</w:t>
      </w:r>
      <w:r w:rsidRPr="00F96072">
        <w:rPr>
          <w:rFonts w:ascii="Times New Roman" w:hAnsi="Times New Roman" w:cs="Times New Roman"/>
          <w:sz w:val="28"/>
          <w:szCs w:val="28"/>
        </w:rPr>
        <w:t xml:space="preserve"> здійснені заходи по </w:t>
      </w:r>
      <w:r w:rsidR="009731A6">
        <w:rPr>
          <w:rFonts w:ascii="Times New Roman" w:hAnsi="Times New Roman" w:cs="Times New Roman"/>
          <w:sz w:val="28"/>
          <w:szCs w:val="28"/>
        </w:rPr>
        <w:t>укладенню договору з ТОВ «КИЇВЗЕМ»</w:t>
      </w:r>
      <w:r w:rsidRPr="00F96072">
        <w:rPr>
          <w:rFonts w:ascii="Times New Roman" w:hAnsi="Times New Roman" w:cs="Times New Roman"/>
          <w:sz w:val="28"/>
          <w:szCs w:val="28"/>
        </w:rPr>
        <w:t xml:space="preserve"> щодо розроблення технічної документації з нормативної грошової оцінки земель </w:t>
      </w:r>
      <w:r w:rsidR="009731A6">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Pr="00F96072">
        <w:rPr>
          <w:rFonts w:ascii="Times New Roman" w:hAnsi="Times New Roman" w:cs="Times New Roman"/>
          <w:sz w:val="28"/>
          <w:szCs w:val="28"/>
        </w:rPr>
        <w:t xml:space="preserve"> </w:t>
      </w:r>
      <w:r w:rsidR="009731A6">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та внесення за результатами якої відомостей до Державного земельного кадастру. </w:t>
      </w:r>
    </w:p>
    <w:p w14:paraId="43FAB139" w14:textId="0131B4E7" w:rsidR="009731A6" w:rsidRDefault="009731A6" w:rsidP="001924FF">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ТОВ «КИЇВЗЕМ»</w:t>
      </w:r>
      <w:r w:rsidRPr="00F96072">
        <w:rPr>
          <w:rFonts w:ascii="Times New Roman" w:hAnsi="Times New Roman" w:cs="Times New Roman"/>
          <w:sz w:val="28"/>
          <w:szCs w:val="28"/>
        </w:rPr>
        <w:t xml:space="preserve"> </w:t>
      </w:r>
      <w:r w:rsidR="00F96072" w:rsidRPr="00F96072">
        <w:rPr>
          <w:rFonts w:ascii="Times New Roman" w:hAnsi="Times New Roman" w:cs="Times New Roman"/>
          <w:sz w:val="28"/>
          <w:szCs w:val="28"/>
        </w:rPr>
        <w:t xml:space="preserve"> розроблено технічну документацію з нормативної грошової оцінки земель </w:t>
      </w:r>
      <w:r>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Pr>
          <w:rFonts w:ascii="Times New Roman" w:hAnsi="Times New Roman" w:cs="Times New Roman"/>
          <w:sz w:val="28"/>
          <w:szCs w:val="28"/>
        </w:rPr>
        <w:t xml:space="preserve"> Вишгородського району Київської області</w:t>
      </w:r>
      <w:r w:rsidR="00F96072" w:rsidRPr="00F96072">
        <w:rPr>
          <w:rFonts w:ascii="Times New Roman" w:hAnsi="Times New Roman" w:cs="Times New Roman"/>
          <w:sz w:val="28"/>
          <w:szCs w:val="28"/>
        </w:rPr>
        <w:t xml:space="preserve">, у зв’язку з чим підготовлено проект рішення </w:t>
      </w:r>
      <w:r>
        <w:rPr>
          <w:rFonts w:ascii="Times New Roman" w:hAnsi="Times New Roman" w:cs="Times New Roman"/>
          <w:sz w:val="28"/>
          <w:szCs w:val="28"/>
        </w:rPr>
        <w:t>Петрівської сільської</w:t>
      </w:r>
      <w:r w:rsidR="00F96072" w:rsidRPr="00F96072">
        <w:rPr>
          <w:rFonts w:ascii="Times New Roman" w:hAnsi="Times New Roman" w:cs="Times New Roman"/>
          <w:sz w:val="28"/>
          <w:szCs w:val="28"/>
        </w:rPr>
        <w:t xml:space="preserve"> ради «Про затвердження технічної документації з нормативної грошової оцінки земель населеного пункту </w:t>
      </w:r>
      <w:r>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000222E8">
        <w:rPr>
          <w:rFonts w:ascii="Times New Roman" w:hAnsi="Times New Roman" w:cs="Times New Roman"/>
          <w:sz w:val="28"/>
          <w:szCs w:val="28"/>
        </w:rPr>
        <w:t xml:space="preserve"> </w:t>
      </w:r>
      <w:r>
        <w:rPr>
          <w:rFonts w:ascii="Times New Roman" w:hAnsi="Times New Roman" w:cs="Times New Roman"/>
          <w:sz w:val="28"/>
          <w:szCs w:val="28"/>
        </w:rPr>
        <w:t>Вишгородського</w:t>
      </w:r>
      <w:r w:rsidR="00F96072" w:rsidRPr="00F96072">
        <w:rPr>
          <w:rFonts w:ascii="Times New Roman" w:hAnsi="Times New Roman" w:cs="Times New Roman"/>
          <w:sz w:val="28"/>
          <w:szCs w:val="28"/>
        </w:rPr>
        <w:t xml:space="preserve"> району Київської області». </w:t>
      </w:r>
    </w:p>
    <w:p w14:paraId="036DAC15" w14:textId="77777777" w:rsidR="009731A6"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пункту 3 розділу ІІ Закону України «Про внесення змін до деяких законодавчих актів України щодо вдосконалення системи управління та дерегуляції у сфері земельних відносин» № 1423-ІХ від 28.04.2021р. Закон України «Про державну експертизу землевпорядної документації» втратив чинність. </w:t>
      </w:r>
    </w:p>
    <w:p w14:paraId="216F42F9" w14:textId="15F321BA"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Таким чином, враховуючи норми чинного законодавства України, </w:t>
      </w:r>
      <w:r w:rsidR="009731A6">
        <w:rPr>
          <w:rFonts w:ascii="Times New Roman" w:hAnsi="Times New Roman" w:cs="Times New Roman"/>
          <w:sz w:val="28"/>
          <w:szCs w:val="28"/>
        </w:rPr>
        <w:t>Петрівська сільська</w:t>
      </w:r>
      <w:r w:rsidRPr="00F96072">
        <w:rPr>
          <w:rFonts w:ascii="Times New Roman" w:hAnsi="Times New Roman" w:cs="Times New Roman"/>
          <w:sz w:val="28"/>
          <w:szCs w:val="28"/>
        </w:rPr>
        <w:t xml:space="preserve"> рада </w:t>
      </w:r>
      <w:r w:rsidR="009731A6">
        <w:rPr>
          <w:rFonts w:ascii="Times New Roman" w:hAnsi="Times New Roman" w:cs="Times New Roman"/>
          <w:sz w:val="28"/>
          <w:szCs w:val="28"/>
        </w:rPr>
        <w:t>Вишгоро</w:t>
      </w:r>
      <w:r w:rsidR="001924FF">
        <w:rPr>
          <w:rFonts w:ascii="Times New Roman" w:hAnsi="Times New Roman" w:cs="Times New Roman"/>
          <w:sz w:val="28"/>
          <w:szCs w:val="28"/>
        </w:rPr>
        <w:t>дського</w:t>
      </w:r>
      <w:r w:rsidRPr="00F96072">
        <w:rPr>
          <w:rFonts w:ascii="Times New Roman" w:hAnsi="Times New Roman" w:cs="Times New Roman"/>
          <w:sz w:val="28"/>
          <w:szCs w:val="28"/>
        </w:rPr>
        <w:t xml:space="preserve"> району Київської області, як замовник робіт з нормативної грошової оцінки земель, має затвердити технічну документацію з нормативної грошової оцінки земель населеного </w:t>
      </w:r>
      <w:r w:rsidRPr="00F96072">
        <w:rPr>
          <w:rFonts w:ascii="Times New Roman" w:hAnsi="Times New Roman" w:cs="Times New Roman"/>
          <w:sz w:val="28"/>
          <w:szCs w:val="28"/>
        </w:rPr>
        <w:lastRenderedPageBreak/>
        <w:t xml:space="preserve">пункту </w:t>
      </w:r>
      <w:r w:rsidR="001924FF">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розроблену Товариством з обмеженою відповідальністю «</w:t>
      </w:r>
      <w:r w:rsidR="001924FF">
        <w:rPr>
          <w:rFonts w:ascii="Times New Roman" w:hAnsi="Times New Roman" w:cs="Times New Roman"/>
          <w:sz w:val="28"/>
          <w:szCs w:val="28"/>
        </w:rPr>
        <w:t>КИЇВЗЕМ</w:t>
      </w:r>
      <w:r w:rsidRPr="00F96072">
        <w:rPr>
          <w:rFonts w:ascii="Times New Roman" w:hAnsi="Times New Roman" w:cs="Times New Roman"/>
          <w:sz w:val="28"/>
          <w:szCs w:val="28"/>
        </w:rPr>
        <w:t xml:space="preserve">». </w:t>
      </w:r>
    </w:p>
    <w:p w14:paraId="44691DC7" w14:textId="15C2A88B"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Ухвалення </w:t>
      </w:r>
      <w:r w:rsidR="001924FF">
        <w:rPr>
          <w:rFonts w:ascii="Times New Roman" w:hAnsi="Times New Roman" w:cs="Times New Roman"/>
          <w:sz w:val="28"/>
          <w:szCs w:val="28"/>
        </w:rPr>
        <w:t>Петрівською сільською</w:t>
      </w:r>
      <w:r w:rsidRPr="00F96072">
        <w:rPr>
          <w:rFonts w:ascii="Times New Roman" w:hAnsi="Times New Roman" w:cs="Times New Roman"/>
          <w:sz w:val="28"/>
          <w:szCs w:val="28"/>
        </w:rPr>
        <w:t xml:space="preserve"> радою рішення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1924FF">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001924FF"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001924FF"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спрямоване на розв’язання проблем, пов’язаних з необхідністю обчислення земельного податку, визначення розмірів орендної плати, державного мита, стимулювання ефективного використання землі на засадах ринкової економіки, визначення ринкової вартості земельних ділянок, створення сприятливих рівних умов для діяльності суб’єктів господарювання шляхом визначення економіко</w:t>
      </w:r>
      <w:r w:rsidR="001924FF">
        <w:rPr>
          <w:rFonts w:ascii="Times New Roman" w:hAnsi="Times New Roman" w:cs="Times New Roman"/>
          <w:sz w:val="28"/>
          <w:szCs w:val="28"/>
        </w:rPr>
        <w:t>-</w:t>
      </w:r>
      <w:r w:rsidRPr="00F96072">
        <w:rPr>
          <w:rFonts w:ascii="Times New Roman" w:hAnsi="Times New Roman" w:cs="Times New Roman"/>
          <w:sz w:val="28"/>
          <w:szCs w:val="28"/>
        </w:rPr>
        <w:t xml:space="preserve">планувальних зон і факторів, що враховують розташування земельних ділянок та функціонального використання земельних ділянок. </w:t>
      </w:r>
    </w:p>
    <w:p w14:paraId="0FA83489" w14:textId="77777777"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 основі нормативної грошової оцінки земель населених пунктів лежить капіталізація рентного доходу, що отримується залежно від місця розташування населеного пункту в загальнодержавній, регіональній і місцевій системах виробництва та розселення, облаштування його території та якості земель з урахуванням </w:t>
      </w:r>
      <w:proofErr w:type="spellStart"/>
      <w:r w:rsidRPr="00F96072">
        <w:rPr>
          <w:rFonts w:ascii="Times New Roman" w:hAnsi="Times New Roman" w:cs="Times New Roman"/>
          <w:sz w:val="28"/>
          <w:szCs w:val="28"/>
        </w:rPr>
        <w:t>природнокліматичних</w:t>
      </w:r>
      <w:proofErr w:type="spellEnd"/>
      <w:r w:rsidRPr="00F96072">
        <w:rPr>
          <w:rFonts w:ascii="Times New Roman" w:hAnsi="Times New Roman" w:cs="Times New Roman"/>
          <w:sz w:val="28"/>
          <w:szCs w:val="28"/>
        </w:rPr>
        <w:t xml:space="preserve"> та інженерно-геологічних умов, архітектурно-ландшафтної та історико</w:t>
      </w:r>
      <w:r w:rsidR="001924FF">
        <w:rPr>
          <w:rFonts w:ascii="Times New Roman" w:hAnsi="Times New Roman" w:cs="Times New Roman"/>
          <w:sz w:val="28"/>
          <w:szCs w:val="28"/>
        </w:rPr>
        <w:t>-</w:t>
      </w:r>
      <w:r w:rsidRPr="00F96072">
        <w:rPr>
          <w:rFonts w:ascii="Times New Roman" w:hAnsi="Times New Roman" w:cs="Times New Roman"/>
          <w:sz w:val="28"/>
          <w:szCs w:val="28"/>
        </w:rPr>
        <w:t xml:space="preserve">культурної цінності, екологічного стану, функціонального використання земель. </w:t>
      </w:r>
    </w:p>
    <w:p w14:paraId="42F42C0F" w14:textId="77777777"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Згідно зі статтею 271 Податкового кодексу України рішення рад щодо нормативної грошової оцінки земельних ділянок офіційно оприлюднюється відповідним органом місцевого самоврядування до 15 липня року, що передує бюджетному періоду, в якому планується застосування нормативної грошової оцінки земель або змін (плановий період). </w:t>
      </w:r>
    </w:p>
    <w:p w14:paraId="2C4B0F72" w14:textId="6500563D"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В іншому разі норми відповідних рішень застосовуються не раніше початку бюджетного періоду, що настає за плановим періодом. Таким чином, ухвалення та оприлюднення до 15.07.202</w:t>
      </w:r>
      <w:r w:rsidR="00FB2A91">
        <w:rPr>
          <w:rFonts w:ascii="Times New Roman" w:hAnsi="Times New Roman" w:cs="Times New Roman"/>
          <w:sz w:val="28"/>
          <w:szCs w:val="28"/>
        </w:rPr>
        <w:t>6</w:t>
      </w:r>
      <w:r w:rsidR="001924FF">
        <w:rPr>
          <w:rFonts w:ascii="Times New Roman" w:hAnsi="Times New Roman" w:cs="Times New Roman"/>
          <w:sz w:val="28"/>
          <w:szCs w:val="28"/>
        </w:rPr>
        <w:t xml:space="preserve"> </w:t>
      </w:r>
      <w:r w:rsidRPr="00F96072">
        <w:rPr>
          <w:rFonts w:ascii="Times New Roman" w:hAnsi="Times New Roman" w:cs="Times New Roman"/>
          <w:sz w:val="28"/>
          <w:szCs w:val="28"/>
        </w:rPr>
        <w:t xml:space="preserve">року рішення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1924FF">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000222E8">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001924FF"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надасть можливість застосовувати нову</w:t>
      </w:r>
      <w:r w:rsidR="001924FF">
        <w:rPr>
          <w:rFonts w:ascii="Times New Roman" w:hAnsi="Times New Roman" w:cs="Times New Roman"/>
          <w:sz w:val="28"/>
          <w:szCs w:val="28"/>
        </w:rPr>
        <w:t xml:space="preserve"> (діючу)</w:t>
      </w:r>
      <w:r w:rsidRPr="00F96072">
        <w:rPr>
          <w:rFonts w:ascii="Times New Roman" w:hAnsi="Times New Roman" w:cs="Times New Roman"/>
          <w:sz w:val="28"/>
          <w:szCs w:val="28"/>
        </w:rPr>
        <w:t xml:space="preserve"> нормативну грошову оцінку для обчислення плати за землю на території </w:t>
      </w:r>
      <w:r w:rsidR="001924FF">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000222E8" w:rsidRPr="00F96072">
        <w:rPr>
          <w:rFonts w:ascii="Times New Roman" w:hAnsi="Times New Roman" w:cs="Times New Roman"/>
          <w:sz w:val="28"/>
          <w:szCs w:val="28"/>
        </w:rPr>
        <w:t xml:space="preserve"> </w:t>
      </w:r>
      <w:r w:rsidRPr="00F96072">
        <w:rPr>
          <w:rFonts w:ascii="Times New Roman" w:hAnsi="Times New Roman" w:cs="Times New Roman"/>
          <w:sz w:val="28"/>
          <w:szCs w:val="28"/>
        </w:rPr>
        <w:t>з 01.01.202</w:t>
      </w:r>
      <w:r w:rsidR="00FB2A91">
        <w:rPr>
          <w:rFonts w:ascii="Times New Roman" w:hAnsi="Times New Roman" w:cs="Times New Roman"/>
          <w:sz w:val="28"/>
          <w:szCs w:val="28"/>
        </w:rPr>
        <w:t>7</w:t>
      </w:r>
      <w:r w:rsidRPr="00F96072">
        <w:rPr>
          <w:rFonts w:ascii="Times New Roman" w:hAnsi="Times New Roman" w:cs="Times New Roman"/>
          <w:sz w:val="28"/>
          <w:szCs w:val="28"/>
        </w:rPr>
        <w:t xml:space="preserve"> року. </w:t>
      </w:r>
    </w:p>
    <w:p w14:paraId="569C53A4" w14:textId="77777777" w:rsidR="001924FF" w:rsidRDefault="001924FF" w:rsidP="009731A6">
      <w:pPr>
        <w:spacing w:after="0" w:line="240" w:lineRule="auto"/>
        <w:ind w:firstLine="708"/>
        <w:rPr>
          <w:rFonts w:ascii="Times New Roman" w:hAnsi="Times New Roman" w:cs="Times New Roman"/>
          <w:sz w:val="28"/>
          <w:szCs w:val="28"/>
        </w:rPr>
      </w:pPr>
    </w:p>
    <w:p w14:paraId="4641A281" w14:textId="77777777"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2. Обґрунтування, чому визначена проблема не може бути розв’язана за допомогою ринкових механізмів або за допомогою діючих регуляторних актів і потребує державного регулювання.</w:t>
      </w:r>
      <w:r w:rsidRPr="00F96072">
        <w:rPr>
          <w:rFonts w:ascii="Times New Roman" w:hAnsi="Times New Roman" w:cs="Times New Roman"/>
          <w:sz w:val="28"/>
          <w:szCs w:val="28"/>
        </w:rPr>
        <w:t xml:space="preserve"> </w:t>
      </w:r>
    </w:p>
    <w:p w14:paraId="5F04063A" w14:textId="77777777"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Повноваження по розробленню технічної документації з нормативної грошової оцінки наданні чинним законодавством відповідним </w:t>
      </w:r>
      <w:r w:rsidR="001924FF">
        <w:rPr>
          <w:rFonts w:ascii="Times New Roman" w:hAnsi="Times New Roman" w:cs="Times New Roman"/>
          <w:sz w:val="28"/>
          <w:szCs w:val="28"/>
        </w:rPr>
        <w:t>сільським</w:t>
      </w:r>
      <w:r w:rsidRPr="00F96072">
        <w:rPr>
          <w:rFonts w:ascii="Times New Roman" w:hAnsi="Times New Roman" w:cs="Times New Roman"/>
          <w:sz w:val="28"/>
          <w:szCs w:val="28"/>
        </w:rPr>
        <w:t xml:space="preserve"> радам. Встановлення розміру нормативної грошової оцінки та цим самим вирішення вищезазначених проблем за допомогою ринкових механізмів без прийняття відповідного регуляторного акту буде суперечити нормам діючого законодавства. </w:t>
      </w:r>
    </w:p>
    <w:p w14:paraId="386FD755" w14:textId="77777777"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Тобто вирішення порушеної проблеми лежить, передусім, у правовій площині, та потребує державного регулювання і можливо тільки шляхом </w:t>
      </w:r>
      <w:r w:rsidRPr="00F96072">
        <w:rPr>
          <w:rFonts w:ascii="Times New Roman" w:hAnsi="Times New Roman" w:cs="Times New Roman"/>
          <w:sz w:val="28"/>
          <w:szCs w:val="28"/>
        </w:rPr>
        <w:lastRenderedPageBreak/>
        <w:t xml:space="preserve">прийняття цього регуляторного акту відповідно до норм чинного законодавства. </w:t>
      </w:r>
    </w:p>
    <w:p w14:paraId="35A49FD0" w14:textId="77777777" w:rsidR="001924FF" w:rsidRDefault="001924FF" w:rsidP="009731A6">
      <w:pPr>
        <w:spacing w:after="0" w:line="240" w:lineRule="auto"/>
        <w:ind w:firstLine="708"/>
        <w:rPr>
          <w:rFonts w:ascii="Times New Roman" w:hAnsi="Times New Roman" w:cs="Times New Roman"/>
          <w:sz w:val="28"/>
          <w:szCs w:val="28"/>
        </w:rPr>
      </w:pPr>
    </w:p>
    <w:p w14:paraId="0793B06E" w14:textId="77777777" w:rsidR="001924FF" w:rsidRDefault="00F96072" w:rsidP="009731A6">
      <w:pPr>
        <w:spacing w:after="0" w:line="240" w:lineRule="auto"/>
        <w:ind w:firstLine="708"/>
        <w:rPr>
          <w:rFonts w:ascii="Times New Roman" w:hAnsi="Times New Roman" w:cs="Times New Roman"/>
          <w:b/>
          <w:sz w:val="28"/>
          <w:szCs w:val="28"/>
        </w:rPr>
      </w:pPr>
      <w:r w:rsidRPr="001924FF">
        <w:rPr>
          <w:rFonts w:ascii="Times New Roman" w:hAnsi="Times New Roman" w:cs="Times New Roman"/>
          <w:b/>
          <w:sz w:val="28"/>
          <w:szCs w:val="28"/>
        </w:rPr>
        <w:t xml:space="preserve">3. Цілі державного регулювання. </w:t>
      </w:r>
    </w:p>
    <w:p w14:paraId="47E41279" w14:textId="77777777" w:rsidR="001924FF" w:rsidRDefault="00F96072" w:rsidP="001924FF">
      <w:pPr>
        <w:spacing w:after="0" w:line="240" w:lineRule="auto"/>
        <w:ind w:firstLine="708"/>
        <w:jc w:val="both"/>
        <w:rPr>
          <w:rFonts w:ascii="Times New Roman" w:hAnsi="Times New Roman" w:cs="Times New Roman"/>
          <w:sz w:val="28"/>
          <w:szCs w:val="28"/>
        </w:rPr>
      </w:pPr>
      <w:r w:rsidRPr="001924FF">
        <w:rPr>
          <w:rFonts w:ascii="Times New Roman" w:hAnsi="Times New Roman" w:cs="Times New Roman"/>
          <w:sz w:val="28"/>
          <w:szCs w:val="28"/>
        </w:rPr>
        <w:t>Прийняття запропонованого</w:t>
      </w:r>
      <w:r w:rsidRPr="00F96072">
        <w:rPr>
          <w:rFonts w:ascii="Times New Roman" w:hAnsi="Times New Roman" w:cs="Times New Roman"/>
          <w:sz w:val="28"/>
          <w:szCs w:val="28"/>
        </w:rPr>
        <w:t xml:space="preserve"> регуляторного акту передбачає вирішення наступних цілей: </w:t>
      </w:r>
    </w:p>
    <w:p w14:paraId="13A593BC" w14:textId="77777777"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визначення розміру плати за землю у вигляді земельного податку або орендної плати за землю, державного мита при міні, спадкуванні та даруванні земельних ділянок відповідно до вимог Податкового кодексу України; </w:t>
      </w:r>
    </w:p>
    <w:p w14:paraId="52215CBA" w14:textId="77777777"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стимулювання ефективного використання землі на засадах ринкової економіки, визначення ринкової вартості земельних ділянок; </w:t>
      </w:r>
    </w:p>
    <w:p w14:paraId="64EF25B5" w14:textId="77777777"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створення сприятливих рівних умов для діяльності суб’єктів господарювання шляхом визначення економіко-планувальних зон і факторів, що враховують розташування земельних ділянок, залежність рентного доходу від місцезнаходження населеного пункту в загальнодержавній, регіональній і місцевій системах виробництва та функціонального використання земельної ділянки. </w:t>
      </w:r>
    </w:p>
    <w:p w14:paraId="45867E4D" w14:textId="77777777" w:rsidR="001924FF" w:rsidRDefault="001924FF" w:rsidP="001924FF">
      <w:pPr>
        <w:spacing w:after="0" w:line="240" w:lineRule="auto"/>
        <w:ind w:firstLine="708"/>
        <w:jc w:val="both"/>
        <w:rPr>
          <w:rFonts w:ascii="Times New Roman" w:hAnsi="Times New Roman" w:cs="Times New Roman"/>
          <w:sz w:val="28"/>
          <w:szCs w:val="28"/>
        </w:rPr>
      </w:pPr>
    </w:p>
    <w:p w14:paraId="53A818E1" w14:textId="77777777"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4. Визначення та оцінка усіх прийнятих альтернативних способів досягнення встановлених цілей, у тому числі ті з них, які не передбачають безпосереднього державного регулювання господарських відносин.</w:t>
      </w:r>
      <w:r w:rsidRPr="00F96072">
        <w:rPr>
          <w:rFonts w:ascii="Times New Roman" w:hAnsi="Times New Roman" w:cs="Times New Roman"/>
          <w:sz w:val="28"/>
          <w:szCs w:val="28"/>
        </w:rPr>
        <w:t xml:space="preserve"> </w:t>
      </w:r>
    </w:p>
    <w:p w14:paraId="72CF3F76" w14:textId="77777777"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1. Перша альтернатива – неприйняття регуляторного акту. Залишення існуючого регулювання без змін. </w:t>
      </w:r>
      <w:proofErr w:type="spellStart"/>
      <w:r w:rsidRPr="00F96072">
        <w:rPr>
          <w:rFonts w:ascii="Times New Roman" w:hAnsi="Times New Roman" w:cs="Times New Roman"/>
          <w:sz w:val="28"/>
          <w:szCs w:val="28"/>
        </w:rPr>
        <w:t>Непроведення</w:t>
      </w:r>
      <w:proofErr w:type="spellEnd"/>
      <w:r w:rsidRPr="00F96072">
        <w:rPr>
          <w:rFonts w:ascii="Times New Roman" w:hAnsi="Times New Roman" w:cs="Times New Roman"/>
          <w:sz w:val="28"/>
          <w:szCs w:val="28"/>
        </w:rPr>
        <w:t xml:space="preserve"> нормативної грошової оцінки в порядку та в строки, встановлені чинним законодавством України, призведе до недотримання термінів проведення нормативної грошової оцінки земель, що є порушенням вимог статті 18 Закону України «Про оцінку земель». Дана альтернатива є неприйнятною у зв’язку з тим, що не буде досягнуто мети правового регулювання та єдиного підходу до обчислення земельного податку, визначення розмірів орендної плати, державного мита.</w:t>
      </w:r>
    </w:p>
    <w:p w14:paraId="13C275E6" w14:textId="075FED66"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2. Друга альтернатива – прийняття регуляторного акту. Введення в дію </w:t>
      </w:r>
      <w:r w:rsidR="001924FF">
        <w:rPr>
          <w:rFonts w:ascii="Times New Roman" w:hAnsi="Times New Roman" w:cs="Times New Roman"/>
          <w:sz w:val="28"/>
          <w:szCs w:val="28"/>
        </w:rPr>
        <w:t>діючої</w:t>
      </w:r>
      <w:r w:rsidRPr="00F96072">
        <w:rPr>
          <w:rFonts w:ascii="Times New Roman" w:hAnsi="Times New Roman" w:cs="Times New Roman"/>
          <w:sz w:val="28"/>
          <w:szCs w:val="28"/>
        </w:rPr>
        <w:t xml:space="preserve"> нормативної грошової оцінки земель населеного пункту </w:t>
      </w:r>
      <w:r w:rsidR="001924FF">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відповідно до вимог статті 18 Закону України «Про оцінку земель». Застосування альтернативи шляхом прийняття рішення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 «</w:t>
      </w:r>
      <w:r w:rsidR="001924FF"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1924FF">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000222E8">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001924FF"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xml:space="preserve">» є найбільш прийнятним та доцільним способом, оскільки відповідає вимогам чинного законодавства, забезпечить належні надходження до місцевого бюджету та стимулюватиме ефективне землекористування. </w:t>
      </w:r>
    </w:p>
    <w:p w14:paraId="2631BEEA" w14:textId="77777777" w:rsidR="001924FF" w:rsidRDefault="00F96072" w:rsidP="001924FF">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3. Третя альтернатива – розв’язання зазначеної проблеми за допомогою ринкових механізмів тощо. Питання не може бути вирішене за рахунок використання ринкових механізмів. Вирішення зазначеної проблеми перебуває в правовому полі, а необхідність ухвалення </w:t>
      </w:r>
      <w:r w:rsidR="001924FF">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w:t>
      </w:r>
      <w:r w:rsidRPr="00F96072">
        <w:rPr>
          <w:rFonts w:ascii="Times New Roman" w:hAnsi="Times New Roman" w:cs="Times New Roman"/>
          <w:sz w:val="28"/>
          <w:szCs w:val="28"/>
        </w:rPr>
        <w:lastRenderedPageBreak/>
        <w:t xml:space="preserve">відповідного рішення про затвердження технічної документації з нормативної грошової оцінки земель обумовлена вимогами законодавства (статті 13, 18 та 23 Закону України «Про оцінку земель»). Альтернатива не є прийнятною. </w:t>
      </w:r>
    </w:p>
    <w:p w14:paraId="5D75DFFD" w14:textId="77777777" w:rsidR="001924FF" w:rsidRDefault="00F96072" w:rsidP="009731A6">
      <w:pPr>
        <w:spacing w:after="0" w:line="240" w:lineRule="auto"/>
        <w:ind w:firstLine="708"/>
        <w:rPr>
          <w:rFonts w:ascii="Times New Roman" w:hAnsi="Times New Roman" w:cs="Times New Roman"/>
          <w:sz w:val="28"/>
          <w:szCs w:val="28"/>
        </w:rPr>
      </w:pPr>
      <w:r w:rsidRPr="001924FF">
        <w:rPr>
          <w:rFonts w:ascii="Times New Roman" w:hAnsi="Times New Roman" w:cs="Times New Roman"/>
          <w:b/>
          <w:sz w:val="28"/>
          <w:szCs w:val="28"/>
        </w:rPr>
        <w:t>5. Аргументи щодо переваги обраного способу досягнення встановлених цілей.</w:t>
      </w:r>
      <w:r w:rsidRPr="00F96072">
        <w:rPr>
          <w:rFonts w:ascii="Times New Roman" w:hAnsi="Times New Roman" w:cs="Times New Roman"/>
          <w:sz w:val="28"/>
          <w:szCs w:val="28"/>
        </w:rPr>
        <w:t xml:space="preserve"> </w:t>
      </w:r>
    </w:p>
    <w:p w14:paraId="0E1EC39B" w14:textId="179AD9A5"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підпункту 14.1.147 пункту 14.1 статті 14 Податкового кодексу України плата за землю – обов’язковий платіж у складі податку на майно, що справляється у формі земельного податку та орендної плати за земельні ділянки державної й комунальної власності. Базою оподаткування земельним податком й орендною платою за землю є нормативна грошова оцінка земельних ділянок. Плата за землю є одним із основних </w:t>
      </w:r>
      <w:proofErr w:type="spellStart"/>
      <w:r w:rsidRPr="00F96072">
        <w:rPr>
          <w:rFonts w:ascii="Times New Roman" w:hAnsi="Times New Roman" w:cs="Times New Roman"/>
          <w:sz w:val="28"/>
          <w:szCs w:val="28"/>
        </w:rPr>
        <w:t>бюджетоформуючих</w:t>
      </w:r>
      <w:proofErr w:type="spellEnd"/>
      <w:r w:rsidRPr="00F96072">
        <w:rPr>
          <w:rFonts w:ascii="Times New Roman" w:hAnsi="Times New Roman" w:cs="Times New Roman"/>
          <w:sz w:val="28"/>
          <w:szCs w:val="28"/>
        </w:rPr>
        <w:t xml:space="preserve"> джерел доходів загального фонду бюджету </w:t>
      </w:r>
      <w:r w:rsidR="001924FF">
        <w:rPr>
          <w:rFonts w:ascii="Times New Roman" w:hAnsi="Times New Roman" w:cs="Times New Roman"/>
          <w:sz w:val="28"/>
          <w:szCs w:val="28"/>
        </w:rPr>
        <w:t>села</w:t>
      </w:r>
      <w:r w:rsidRPr="00F96072">
        <w:rPr>
          <w:rFonts w:ascii="Times New Roman" w:hAnsi="Times New Roman" w:cs="Times New Roman"/>
          <w:sz w:val="28"/>
          <w:szCs w:val="28"/>
        </w:rPr>
        <w:t xml:space="preserve"> </w:t>
      </w:r>
      <w:r w:rsidR="007F11D7">
        <w:rPr>
          <w:rFonts w:ascii="Times New Roman" w:hAnsi="Times New Roman" w:cs="Times New Roman"/>
          <w:sz w:val="28"/>
          <w:szCs w:val="28"/>
        </w:rPr>
        <w:t>Лютіж</w:t>
      </w:r>
      <w:r w:rsidR="001924FF">
        <w:rPr>
          <w:rFonts w:ascii="Times New Roman" w:hAnsi="Times New Roman" w:cs="Times New Roman"/>
          <w:sz w:val="28"/>
          <w:szCs w:val="28"/>
        </w:rPr>
        <w:t xml:space="preserve"> </w:t>
      </w:r>
      <w:r w:rsidRPr="00F96072">
        <w:rPr>
          <w:rFonts w:ascii="Times New Roman" w:hAnsi="Times New Roman" w:cs="Times New Roman"/>
          <w:sz w:val="28"/>
          <w:szCs w:val="28"/>
        </w:rPr>
        <w:t xml:space="preserve"> </w:t>
      </w:r>
      <w:r w:rsidR="001924FF">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Вимірювальними індикаторами досягнення цілей держаного регулювання є: </w:t>
      </w:r>
    </w:p>
    <w:p w14:paraId="4D42CADA"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кількісний – надходження плати за землю до доходної частини бюджету </w:t>
      </w:r>
      <w:r w:rsidR="001924FF">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w:t>
      </w:r>
    </w:p>
    <w:p w14:paraId="166CFA38"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часовий – дотримання термінів проведення нормативної грошової оцінки земель, визначених чинним законодавством України; </w:t>
      </w:r>
    </w:p>
    <w:p w14:paraId="6DC7F4D5"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якісний – рівень поінформованості суб’єктів господарювання та фізичних осіб щодо основних положень акта. </w:t>
      </w:r>
    </w:p>
    <w:p w14:paraId="2B087BF4"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Дотримання правових аспектів буде виконано шляхом направлення профільною постійною депутатською комісією </w:t>
      </w:r>
      <w:r w:rsidR="00DA3E14">
        <w:rPr>
          <w:rFonts w:ascii="Times New Roman" w:hAnsi="Times New Roman" w:cs="Times New Roman"/>
          <w:sz w:val="28"/>
          <w:szCs w:val="28"/>
        </w:rPr>
        <w:t>сільської</w:t>
      </w:r>
      <w:r w:rsidRPr="00F96072">
        <w:rPr>
          <w:rFonts w:ascii="Times New Roman" w:hAnsi="Times New Roman" w:cs="Times New Roman"/>
          <w:sz w:val="28"/>
          <w:szCs w:val="28"/>
        </w:rPr>
        <w:t xml:space="preserve"> ради експертного висновку щодо регуляторного впливу внесеного проекту регуляторного акта разом з проектом рішення та підписаним аналізом регуляторного впливу до: </w:t>
      </w:r>
    </w:p>
    <w:p w14:paraId="7F87FAC1"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Державної регуляторної служби України для проведення експертизи щодо наявності ознак </w:t>
      </w:r>
      <w:proofErr w:type="spellStart"/>
      <w:r w:rsidRPr="00F96072">
        <w:rPr>
          <w:rFonts w:ascii="Times New Roman" w:hAnsi="Times New Roman" w:cs="Times New Roman"/>
          <w:sz w:val="28"/>
          <w:szCs w:val="28"/>
        </w:rPr>
        <w:t>регуляторності</w:t>
      </w:r>
      <w:proofErr w:type="spellEnd"/>
      <w:r w:rsidRPr="00F96072">
        <w:rPr>
          <w:rFonts w:ascii="Times New Roman" w:hAnsi="Times New Roman" w:cs="Times New Roman"/>
          <w:sz w:val="28"/>
          <w:szCs w:val="28"/>
        </w:rPr>
        <w:t xml:space="preserve"> і відповідності принципам державної регуляторної політики та для підготовки у встановленому Кабінетом Міністрів України порядку пропозицій щодо удосконалення проекту відповідно до принципів державної регуляторної політики; </w:t>
      </w:r>
    </w:p>
    <w:p w14:paraId="1EABCA62"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Територіального відділення Антимонопольного комітету України для погодження, як акту, що може вплинути на конкуренцію, зокрема щодо створення суб'єктів господарювання, встановлення і зміни правил їх поведінки на ринку, або такого, що може призвести до недопущення, усунення, обмеження чи спотворення конкуренції на відповідних ринках (згідно зі статтею 20 Закону України «Про Антимонопольний комітет України</w:t>
      </w:r>
      <w:r w:rsidR="00DA3E14">
        <w:rPr>
          <w:rFonts w:ascii="Times New Roman" w:hAnsi="Times New Roman" w:cs="Times New Roman"/>
          <w:sz w:val="28"/>
          <w:szCs w:val="28"/>
        </w:rPr>
        <w:t>»).</w:t>
      </w:r>
    </w:p>
    <w:p w14:paraId="3F7FC647" w14:textId="36708890"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У десятиденний строк з дня прийняття рішення про затвердження технічної документації з нормативної грошової оцінки земель населеного пункту </w:t>
      </w:r>
      <w:r w:rsidR="00DA3E14">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Pr="00F96072">
        <w:rPr>
          <w:rFonts w:ascii="Times New Roman" w:hAnsi="Times New Roman" w:cs="Times New Roman"/>
          <w:sz w:val="28"/>
          <w:szCs w:val="28"/>
        </w:rPr>
        <w:t xml:space="preserve"> </w:t>
      </w:r>
      <w:r w:rsidR="003338BE">
        <w:rPr>
          <w:rFonts w:ascii="Times New Roman" w:hAnsi="Times New Roman" w:cs="Times New Roman"/>
          <w:sz w:val="28"/>
          <w:szCs w:val="28"/>
        </w:rPr>
        <w:t>Вишгородського</w:t>
      </w:r>
      <w:r w:rsidRPr="00F96072">
        <w:rPr>
          <w:rFonts w:ascii="Times New Roman" w:hAnsi="Times New Roman" w:cs="Times New Roman"/>
          <w:sz w:val="28"/>
          <w:szCs w:val="28"/>
        </w:rPr>
        <w:t xml:space="preserve"> району Київської області інформація про нормативну грошову оцінку земель міста в електронній формі та копія прийнятого рішення будуть направлені до контролюючого органу та центрального органу виконавчої влади, що реалізує державну політику у сфері земельних відносин (згідно із підпунктом 12.3.3 пункту 12.3 статті 12 Податкового кодексу України). </w:t>
      </w:r>
    </w:p>
    <w:p w14:paraId="23E65FDF"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Регуляторний акт, не пізніш як у десятиденний строк після його прийняття та підписання, буде офіційно оприлюднено у місцевих друкованих засобах масової інформації (згідно із статтею 12 Закону України «Про засади державної регуляторної політики у сфері господарської діяльності»).</w:t>
      </w:r>
    </w:p>
    <w:p w14:paraId="57F8ABD4" w14:textId="4C82A6C1"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Прийняття </w:t>
      </w:r>
      <w:r w:rsidR="00DA3E14">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 запропонованого регуляторного акту – проекту рішення </w:t>
      </w:r>
      <w:r w:rsidR="00DA3E14">
        <w:rPr>
          <w:rFonts w:ascii="Times New Roman" w:hAnsi="Times New Roman" w:cs="Times New Roman"/>
          <w:sz w:val="28"/>
          <w:szCs w:val="28"/>
        </w:rPr>
        <w:t>Петрівської сіль</w:t>
      </w:r>
      <w:r w:rsidR="003338BE">
        <w:rPr>
          <w:rFonts w:ascii="Times New Roman" w:hAnsi="Times New Roman" w:cs="Times New Roman"/>
          <w:sz w:val="28"/>
          <w:szCs w:val="28"/>
        </w:rPr>
        <w:t>сь</w:t>
      </w:r>
      <w:r w:rsidR="00DA3E14">
        <w:rPr>
          <w:rFonts w:ascii="Times New Roman" w:hAnsi="Times New Roman" w:cs="Times New Roman"/>
          <w:sz w:val="28"/>
          <w:szCs w:val="28"/>
        </w:rPr>
        <w:t>кої</w:t>
      </w:r>
      <w:r w:rsidRPr="00F96072">
        <w:rPr>
          <w:rFonts w:ascii="Times New Roman" w:hAnsi="Times New Roman" w:cs="Times New Roman"/>
          <w:sz w:val="28"/>
          <w:szCs w:val="28"/>
        </w:rPr>
        <w:t xml:space="preserve"> ради «</w:t>
      </w:r>
      <w:r w:rsidR="00DA3E14" w:rsidRPr="00F96072">
        <w:rPr>
          <w:rFonts w:ascii="Times New Roman" w:hAnsi="Times New Roman" w:cs="Times New Roman"/>
          <w:sz w:val="28"/>
          <w:szCs w:val="28"/>
        </w:rPr>
        <w:t xml:space="preserve">Про затвердження технічної документації з нормативної грошової оцінки земель населеного пункту </w:t>
      </w:r>
      <w:r w:rsidR="00DA3E14">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000222E8">
        <w:rPr>
          <w:rFonts w:ascii="Times New Roman" w:hAnsi="Times New Roman" w:cs="Times New Roman"/>
          <w:sz w:val="28"/>
          <w:szCs w:val="28"/>
        </w:rPr>
        <w:t xml:space="preserve"> </w:t>
      </w:r>
      <w:r w:rsidR="00DA3E14">
        <w:rPr>
          <w:rFonts w:ascii="Times New Roman" w:hAnsi="Times New Roman" w:cs="Times New Roman"/>
          <w:sz w:val="28"/>
          <w:szCs w:val="28"/>
        </w:rPr>
        <w:t>Вишгородського</w:t>
      </w:r>
      <w:r w:rsidR="00DA3E14" w:rsidRPr="00F96072">
        <w:rPr>
          <w:rFonts w:ascii="Times New Roman" w:hAnsi="Times New Roman" w:cs="Times New Roman"/>
          <w:sz w:val="28"/>
          <w:szCs w:val="28"/>
        </w:rPr>
        <w:t xml:space="preserve"> району Київської області</w:t>
      </w:r>
      <w:r w:rsidRPr="00F96072">
        <w:rPr>
          <w:rFonts w:ascii="Times New Roman" w:hAnsi="Times New Roman" w:cs="Times New Roman"/>
          <w:sz w:val="28"/>
          <w:szCs w:val="28"/>
        </w:rPr>
        <w:t xml:space="preserve">» дасть можливість вирішити визначені проблеми при дотриманні норм чинного законодавства України, в найбільш короткий термін, з найменшими витратами. </w:t>
      </w:r>
    </w:p>
    <w:p w14:paraId="79E4B83B" w14:textId="77777777" w:rsidR="00DA3E14" w:rsidRDefault="00DA3E14" w:rsidP="009731A6">
      <w:pPr>
        <w:spacing w:after="0" w:line="240" w:lineRule="auto"/>
        <w:ind w:firstLine="708"/>
        <w:rPr>
          <w:rFonts w:ascii="Times New Roman" w:hAnsi="Times New Roman" w:cs="Times New Roman"/>
          <w:sz w:val="28"/>
          <w:szCs w:val="28"/>
        </w:rPr>
      </w:pPr>
    </w:p>
    <w:p w14:paraId="567CB5EE" w14:textId="77777777"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6. Очікувані результати прийняття запропонованого регуляторного акту.</w:t>
      </w:r>
      <w:r w:rsidRPr="00F96072">
        <w:rPr>
          <w:rFonts w:ascii="Times New Roman" w:hAnsi="Times New Roman" w:cs="Times New Roman"/>
          <w:sz w:val="28"/>
          <w:szCs w:val="28"/>
        </w:rPr>
        <w:t xml:space="preserve"> </w:t>
      </w:r>
    </w:p>
    <w:p w14:paraId="095C471A"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 прийняттям даного рішення: </w:t>
      </w:r>
    </w:p>
    <w:p w14:paraId="3420698B"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дотримуються терміни проведення нормативної грошової оцінки земель, визначені чинним законодавством України; </w:t>
      </w:r>
    </w:p>
    <w:p w14:paraId="5A7DBCB5"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уточнюється надходження плати за землю до доходної частини бюджету </w:t>
      </w:r>
      <w:r w:rsidR="00DA3E1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w:t>
      </w:r>
    </w:p>
    <w:p w14:paraId="24BD42F9"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забезпечується можливість планування та прогнозування надходжень від податків при формуванні міського бюджету; </w:t>
      </w:r>
    </w:p>
    <w:p w14:paraId="0BBF0E6C"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збільшується рівень поінформованості суб’єктів господарювання та фізичних осіб щодо основних положень акта. </w:t>
      </w:r>
    </w:p>
    <w:p w14:paraId="3B98EF0C" w14:textId="77777777" w:rsidR="00DA3E14" w:rsidRDefault="00DA3E14" w:rsidP="009731A6">
      <w:pPr>
        <w:spacing w:after="0" w:line="240" w:lineRule="auto"/>
        <w:ind w:firstLine="708"/>
        <w:rPr>
          <w:rFonts w:ascii="Times New Roman" w:hAnsi="Times New Roman" w:cs="Times New Roman"/>
          <w:sz w:val="28"/>
          <w:szCs w:val="28"/>
        </w:rPr>
      </w:pPr>
    </w:p>
    <w:p w14:paraId="75176078" w14:textId="77777777"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7. Механізм і заходи, які забезпечать розв’язання визначеної проблеми.</w:t>
      </w:r>
      <w:r w:rsidRPr="00F96072">
        <w:rPr>
          <w:rFonts w:ascii="Times New Roman" w:hAnsi="Times New Roman" w:cs="Times New Roman"/>
          <w:sz w:val="28"/>
          <w:szCs w:val="28"/>
        </w:rPr>
        <w:t xml:space="preserve"> </w:t>
      </w:r>
    </w:p>
    <w:p w14:paraId="1CDCD5E1" w14:textId="2B2EBE64"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Згідно Податкового кодексу України до повноважень органів місцевого самоврядування належить прийняття рішення про затвердження нормативної грошової оцінки земель населеного пункту </w:t>
      </w:r>
      <w:r w:rsidR="007F11D7">
        <w:rPr>
          <w:rFonts w:ascii="Times New Roman" w:hAnsi="Times New Roman" w:cs="Times New Roman"/>
          <w:sz w:val="28"/>
          <w:szCs w:val="28"/>
        </w:rPr>
        <w:t>Лютіж</w:t>
      </w:r>
      <w:r w:rsidRPr="00F96072">
        <w:rPr>
          <w:rFonts w:ascii="Times New Roman" w:hAnsi="Times New Roman" w:cs="Times New Roman"/>
          <w:sz w:val="28"/>
          <w:szCs w:val="28"/>
        </w:rPr>
        <w:t xml:space="preserve">. Зробити це можливо за рахунок прийняття відповідного рішення </w:t>
      </w:r>
      <w:r w:rsidR="00DA3E14">
        <w:rPr>
          <w:rFonts w:ascii="Times New Roman" w:hAnsi="Times New Roman" w:cs="Times New Roman"/>
          <w:sz w:val="28"/>
          <w:szCs w:val="28"/>
        </w:rPr>
        <w:t>Петрівською сільською радою.</w:t>
      </w:r>
    </w:p>
    <w:p w14:paraId="5F05DCFF"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Невідкладне оприлюднення проекту регуляторного акту буде розміщено на офіційному веб</w:t>
      </w:r>
      <w:r w:rsidR="00DA3E14">
        <w:rPr>
          <w:rFonts w:ascii="Times New Roman" w:hAnsi="Times New Roman" w:cs="Times New Roman"/>
          <w:sz w:val="28"/>
          <w:szCs w:val="28"/>
        </w:rPr>
        <w:t>-</w:t>
      </w:r>
      <w:r w:rsidRPr="00F96072">
        <w:rPr>
          <w:rFonts w:ascii="Times New Roman" w:hAnsi="Times New Roman" w:cs="Times New Roman"/>
          <w:sz w:val="28"/>
          <w:szCs w:val="28"/>
        </w:rPr>
        <w:t xml:space="preserve">сайті </w:t>
      </w:r>
      <w:r w:rsidR="00DA3E1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ради</w:t>
      </w:r>
      <w:r w:rsidR="00DA3E14">
        <w:rPr>
          <w:rFonts w:ascii="Times New Roman" w:hAnsi="Times New Roman" w:cs="Times New Roman"/>
          <w:sz w:val="28"/>
          <w:szCs w:val="28"/>
        </w:rPr>
        <w:t xml:space="preserve"> </w:t>
      </w:r>
      <w:r w:rsidR="00DA3E14" w:rsidRPr="00F96072">
        <w:rPr>
          <w:rFonts w:ascii="Times New Roman" w:hAnsi="Times New Roman" w:cs="Times New Roman"/>
          <w:sz w:val="28"/>
          <w:szCs w:val="28"/>
        </w:rPr>
        <w:t>http://</w:t>
      </w:r>
      <w:r w:rsidR="00DA3E14" w:rsidRPr="00DA3E14">
        <w:rPr>
          <w:rFonts w:ascii="Times New Roman" w:hAnsi="Times New Roman" w:cs="Times New Roman"/>
          <w:sz w:val="28"/>
          <w:szCs w:val="28"/>
        </w:rPr>
        <w:t>petrivtsi-rada.gov.ua</w:t>
      </w:r>
      <w:r w:rsidRPr="00F96072">
        <w:rPr>
          <w:rFonts w:ascii="Times New Roman" w:hAnsi="Times New Roman" w:cs="Times New Roman"/>
          <w:sz w:val="28"/>
          <w:szCs w:val="28"/>
        </w:rPr>
        <w:t xml:space="preserve"> та у випуску </w:t>
      </w:r>
      <w:r w:rsidR="00DA3E14">
        <w:rPr>
          <w:rFonts w:ascii="Times New Roman" w:hAnsi="Times New Roman" w:cs="Times New Roman"/>
          <w:sz w:val="28"/>
          <w:szCs w:val="28"/>
        </w:rPr>
        <w:t xml:space="preserve">місцевої </w:t>
      </w:r>
      <w:r w:rsidRPr="00F96072">
        <w:rPr>
          <w:rFonts w:ascii="Times New Roman" w:hAnsi="Times New Roman" w:cs="Times New Roman"/>
          <w:sz w:val="28"/>
          <w:szCs w:val="28"/>
        </w:rPr>
        <w:t xml:space="preserve">газети з метою громадського обговорення, надання зауважень та пропозицій від громадськості. </w:t>
      </w:r>
    </w:p>
    <w:p w14:paraId="7EFC0EAE" w14:textId="77777777"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8. Обґрунтування можливості досягнення визначених цілей у разі прийняття регуляторного акту.</w:t>
      </w:r>
      <w:r w:rsidRPr="00F96072">
        <w:rPr>
          <w:rFonts w:ascii="Times New Roman" w:hAnsi="Times New Roman" w:cs="Times New Roman"/>
          <w:sz w:val="28"/>
          <w:szCs w:val="28"/>
        </w:rPr>
        <w:t xml:space="preserve"> </w:t>
      </w:r>
    </w:p>
    <w:p w14:paraId="26CC2691"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Досягнення визначених цілей шляхом виконання вимог нового регуляторного акта принесе вигоди без необхідності залучення додаткових витрат органів місцевого самоврядування. </w:t>
      </w:r>
    </w:p>
    <w:p w14:paraId="00F05E2C"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 кількісних показників належать: чисельність платників за землю, надходження коштів до бюджету </w:t>
      </w:r>
      <w:r w:rsidR="00DA3E14">
        <w:rPr>
          <w:rFonts w:ascii="Times New Roman" w:hAnsi="Times New Roman" w:cs="Times New Roman"/>
          <w:sz w:val="28"/>
          <w:szCs w:val="28"/>
        </w:rPr>
        <w:t xml:space="preserve">Петрівської сільської </w:t>
      </w:r>
      <w:r w:rsidRPr="00F96072">
        <w:rPr>
          <w:rFonts w:ascii="Times New Roman" w:hAnsi="Times New Roman" w:cs="Times New Roman"/>
          <w:sz w:val="28"/>
          <w:szCs w:val="28"/>
        </w:rPr>
        <w:t xml:space="preserve">територіальної громади від плати за землю. Крім кількісних показників до вигод належить забезпечення фінансування міських цільових програм за рахунок збільшення надходжень коштів до бюджету </w:t>
      </w:r>
      <w:r w:rsidR="00DA3E14">
        <w:rPr>
          <w:rFonts w:ascii="Times New Roman" w:hAnsi="Times New Roman" w:cs="Times New Roman"/>
          <w:sz w:val="28"/>
          <w:szCs w:val="28"/>
        </w:rPr>
        <w:t xml:space="preserve">Петрівської </w:t>
      </w:r>
      <w:proofErr w:type="spellStart"/>
      <w:r w:rsidR="00DA3E14">
        <w:rPr>
          <w:rFonts w:ascii="Times New Roman" w:hAnsi="Times New Roman" w:cs="Times New Roman"/>
          <w:sz w:val="28"/>
          <w:szCs w:val="28"/>
        </w:rPr>
        <w:t>сілької</w:t>
      </w:r>
      <w:proofErr w:type="spellEnd"/>
      <w:r w:rsidRPr="00F96072">
        <w:rPr>
          <w:rFonts w:ascii="Times New Roman" w:hAnsi="Times New Roman" w:cs="Times New Roman"/>
          <w:sz w:val="28"/>
          <w:szCs w:val="28"/>
        </w:rPr>
        <w:t xml:space="preserve"> територіальної громади від плати за землю. </w:t>
      </w:r>
    </w:p>
    <w:p w14:paraId="20597B21"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 xml:space="preserve">Прийняття запропонованого проекту рішення надасть можливість: - поповнення бюджету </w:t>
      </w:r>
      <w:r w:rsidR="00DA3E14">
        <w:rPr>
          <w:rFonts w:ascii="Times New Roman" w:hAnsi="Times New Roman" w:cs="Times New Roman"/>
          <w:sz w:val="28"/>
          <w:szCs w:val="28"/>
        </w:rPr>
        <w:t>сільської громади</w:t>
      </w:r>
      <w:r w:rsidRPr="00F96072">
        <w:rPr>
          <w:rFonts w:ascii="Times New Roman" w:hAnsi="Times New Roman" w:cs="Times New Roman"/>
          <w:sz w:val="28"/>
          <w:szCs w:val="28"/>
        </w:rPr>
        <w:t xml:space="preserve">; </w:t>
      </w:r>
    </w:p>
    <w:p w14:paraId="23D55CDC"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здійснення якісного планування та прогнозування надходжень від сплати за землю при формуванні </w:t>
      </w:r>
      <w:r w:rsidR="00DA3E14">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w:t>
      </w:r>
    </w:p>
    <w:p w14:paraId="4B5827EB" w14:textId="77777777" w:rsidR="00DA3E1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 простота і доступність даного регуляторного акту. </w:t>
      </w:r>
    </w:p>
    <w:p w14:paraId="10004937" w14:textId="77777777" w:rsidR="00DA3E14" w:rsidRDefault="00DA3E14" w:rsidP="009731A6">
      <w:pPr>
        <w:spacing w:after="0" w:line="240" w:lineRule="auto"/>
        <w:ind w:firstLine="708"/>
        <w:rPr>
          <w:rFonts w:ascii="Times New Roman" w:hAnsi="Times New Roman" w:cs="Times New Roman"/>
          <w:sz w:val="28"/>
          <w:szCs w:val="28"/>
        </w:rPr>
      </w:pPr>
    </w:p>
    <w:p w14:paraId="76056EE3" w14:textId="77777777" w:rsidR="00DA3E14" w:rsidRDefault="00F96072" w:rsidP="009731A6">
      <w:pPr>
        <w:spacing w:after="0" w:line="240" w:lineRule="auto"/>
        <w:ind w:firstLine="708"/>
        <w:rPr>
          <w:rFonts w:ascii="Times New Roman" w:hAnsi="Times New Roman" w:cs="Times New Roman"/>
          <w:sz w:val="28"/>
          <w:szCs w:val="28"/>
        </w:rPr>
      </w:pPr>
      <w:r w:rsidRPr="00DA3E14">
        <w:rPr>
          <w:rFonts w:ascii="Times New Roman" w:hAnsi="Times New Roman" w:cs="Times New Roman"/>
          <w:b/>
          <w:sz w:val="28"/>
          <w:szCs w:val="28"/>
        </w:rPr>
        <w:t>9. Очікувані витрати та вигоди суб’єктів господарювання, громади та держави внаслідок дії регуляторного акту.</w:t>
      </w:r>
      <w:r w:rsidRPr="00F96072">
        <w:rPr>
          <w:rFonts w:ascii="Times New Roman" w:hAnsi="Times New Roman" w:cs="Times New Roman"/>
          <w:sz w:val="28"/>
          <w:szCs w:val="28"/>
        </w:rPr>
        <w:t xml:space="preserve"> </w:t>
      </w:r>
    </w:p>
    <w:tbl>
      <w:tblPr>
        <w:tblStyle w:val="a3"/>
        <w:tblW w:w="0" w:type="auto"/>
        <w:tblLook w:val="04A0" w:firstRow="1" w:lastRow="0" w:firstColumn="1" w:lastColumn="0" w:noHBand="0" w:noVBand="1"/>
      </w:tblPr>
      <w:tblGrid>
        <w:gridCol w:w="3190"/>
        <w:gridCol w:w="3190"/>
        <w:gridCol w:w="3191"/>
      </w:tblGrid>
      <w:tr w:rsidR="00DA3E14" w14:paraId="7F6488D6" w14:textId="77777777" w:rsidTr="00DA3E14">
        <w:tc>
          <w:tcPr>
            <w:tcW w:w="3190" w:type="dxa"/>
          </w:tcPr>
          <w:p w14:paraId="497BE53D" w14:textId="77777777" w:rsidR="00DA3E14" w:rsidRDefault="00DA3E14" w:rsidP="009731A6">
            <w:pPr>
              <w:rPr>
                <w:rFonts w:ascii="Times New Roman" w:hAnsi="Times New Roman" w:cs="Times New Roman"/>
                <w:sz w:val="28"/>
                <w:szCs w:val="28"/>
              </w:rPr>
            </w:pPr>
          </w:p>
        </w:tc>
        <w:tc>
          <w:tcPr>
            <w:tcW w:w="3190" w:type="dxa"/>
          </w:tcPr>
          <w:p w14:paraId="311628DB" w14:textId="77777777"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Переваги</w:t>
            </w:r>
          </w:p>
        </w:tc>
        <w:tc>
          <w:tcPr>
            <w:tcW w:w="3191" w:type="dxa"/>
          </w:tcPr>
          <w:p w14:paraId="3A2A2F47" w14:textId="77777777"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Витрати</w:t>
            </w:r>
          </w:p>
        </w:tc>
      </w:tr>
      <w:tr w:rsidR="00DA3E14" w14:paraId="34D6451E" w14:textId="77777777" w:rsidTr="00DA3E14">
        <w:tc>
          <w:tcPr>
            <w:tcW w:w="3190" w:type="dxa"/>
          </w:tcPr>
          <w:p w14:paraId="4EE275F9" w14:textId="77777777"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Органи місцевого самоврядування</w:t>
            </w:r>
          </w:p>
        </w:tc>
        <w:tc>
          <w:tcPr>
            <w:tcW w:w="3190" w:type="dxa"/>
          </w:tcPr>
          <w:p w14:paraId="60D4B197" w14:textId="77777777" w:rsidR="001A03D4" w:rsidRDefault="00DA3E14" w:rsidP="001A03D4">
            <w:pPr>
              <w:rPr>
                <w:rFonts w:ascii="Times New Roman" w:hAnsi="Times New Roman" w:cs="Times New Roman"/>
                <w:sz w:val="28"/>
                <w:szCs w:val="28"/>
              </w:rPr>
            </w:pPr>
            <w:r w:rsidRPr="00F96072">
              <w:rPr>
                <w:rFonts w:ascii="Times New Roman" w:hAnsi="Times New Roman" w:cs="Times New Roman"/>
                <w:sz w:val="28"/>
                <w:szCs w:val="28"/>
              </w:rPr>
              <w:t>- виконання вимог пункту 10.2 статті 10 Податкового кодексу України;</w:t>
            </w:r>
          </w:p>
          <w:p w14:paraId="5AADC96B" w14:textId="77777777" w:rsidR="00DA3E14" w:rsidRDefault="00DA3E14" w:rsidP="001A03D4">
            <w:pPr>
              <w:rPr>
                <w:rFonts w:ascii="Times New Roman" w:hAnsi="Times New Roman" w:cs="Times New Roman"/>
                <w:sz w:val="28"/>
                <w:szCs w:val="28"/>
              </w:rPr>
            </w:pPr>
            <w:r w:rsidRPr="00F96072">
              <w:rPr>
                <w:rFonts w:ascii="Times New Roman" w:hAnsi="Times New Roman" w:cs="Times New Roman"/>
                <w:sz w:val="28"/>
                <w:szCs w:val="28"/>
              </w:rPr>
              <w:t xml:space="preserve">- можливість планування та прогнозування надходжень від податків при формуванні </w:t>
            </w:r>
            <w:r>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w:t>
            </w:r>
          </w:p>
        </w:tc>
        <w:tc>
          <w:tcPr>
            <w:tcW w:w="3191" w:type="dxa"/>
          </w:tcPr>
          <w:p w14:paraId="5814E65C" w14:textId="77777777" w:rsidR="00DA3E14" w:rsidRDefault="00DA3E14" w:rsidP="009731A6">
            <w:pPr>
              <w:rPr>
                <w:rFonts w:ascii="Times New Roman" w:hAnsi="Times New Roman" w:cs="Times New Roman"/>
                <w:sz w:val="28"/>
                <w:szCs w:val="28"/>
              </w:rPr>
            </w:pPr>
            <w:r w:rsidRPr="00F96072">
              <w:rPr>
                <w:rFonts w:ascii="Times New Roman" w:hAnsi="Times New Roman" w:cs="Times New Roman"/>
                <w:sz w:val="28"/>
                <w:szCs w:val="28"/>
              </w:rPr>
              <w:t>Незначні організаційні витрати, пов’язані з прийняттям та впровадженням даного рішення</w:t>
            </w:r>
          </w:p>
        </w:tc>
      </w:tr>
      <w:tr w:rsidR="00DA3E14" w14:paraId="043A063E" w14:textId="77777777" w:rsidTr="00DA3E14">
        <w:tc>
          <w:tcPr>
            <w:tcW w:w="3190" w:type="dxa"/>
          </w:tcPr>
          <w:p w14:paraId="1B2666BE" w14:textId="77777777"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xml:space="preserve">Фізичні та юридичні особи, які є власниками (землекористувачами) на території </w:t>
            </w:r>
            <w:r>
              <w:rPr>
                <w:rFonts w:ascii="Times New Roman" w:hAnsi="Times New Roman" w:cs="Times New Roman"/>
                <w:sz w:val="28"/>
                <w:szCs w:val="28"/>
              </w:rPr>
              <w:t>сільської</w:t>
            </w:r>
            <w:r w:rsidRPr="00F96072">
              <w:rPr>
                <w:rFonts w:ascii="Times New Roman" w:hAnsi="Times New Roman" w:cs="Times New Roman"/>
                <w:sz w:val="28"/>
                <w:szCs w:val="28"/>
              </w:rPr>
              <w:t xml:space="preserve"> ради</w:t>
            </w:r>
          </w:p>
        </w:tc>
        <w:tc>
          <w:tcPr>
            <w:tcW w:w="3190" w:type="dxa"/>
          </w:tcPr>
          <w:p w14:paraId="2B404E82" w14:textId="77777777" w:rsidR="001A03D4" w:rsidRDefault="001A03D4" w:rsidP="001A03D4">
            <w:pPr>
              <w:rPr>
                <w:rFonts w:ascii="Times New Roman" w:hAnsi="Times New Roman" w:cs="Times New Roman"/>
                <w:sz w:val="28"/>
                <w:szCs w:val="28"/>
              </w:rPr>
            </w:pPr>
            <w:r>
              <w:rPr>
                <w:rFonts w:ascii="Times New Roman" w:hAnsi="Times New Roman" w:cs="Times New Roman"/>
                <w:sz w:val="28"/>
                <w:szCs w:val="28"/>
              </w:rPr>
              <w:t>- м</w:t>
            </w:r>
            <w:r w:rsidRPr="00F96072">
              <w:rPr>
                <w:rFonts w:ascii="Times New Roman" w:hAnsi="Times New Roman" w:cs="Times New Roman"/>
                <w:sz w:val="28"/>
                <w:szCs w:val="28"/>
              </w:rPr>
              <w:t xml:space="preserve">ожливість обговорення до затвердження </w:t>
            </w:r>
            <w:r>
              <w:rPr>
                <w:rFonts w:ascii="Times New Roman" w:hAnsi="Times New Roman" w:cs="Times New Roman"/>
                <w:sz w:val="28"/>
                <w:szCs w:val="28"/>
              </w:rPr>
              <w:t>Петрівською сільською</w:t>
            </w:r>
            <w:r w:rsidRPr="00F96072">
              <w:rPr>
                <w:rFonts w:ascii="Times New Roman" w:hAnsi="Times New Roman" w:cs="Times New Roman"/>
                <w:sz w:val="28"/>
                <w:szCs w:val="28"/>
              </w:rPr>
              <w:t xml:space="preserve"> радою; </w:t>
            </w:r>
          </w:p>
          <w:p w14:paraId="5D108FA4" w14:textId="77777777"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визначення чітких розмірів податків та механізмів їх сплати</w:t>
            </w:r>
          </w:p>
        </w:tc>
        <w:tc>
          <w:tcPr>
            <w:tcW w:w="3191" w:type="dxa"/>
          </w:tcPr>
          <w:p w14:paraId="5F636C2E" w14:textId="77777777"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xml:space="preserve">Сплата податків та зборів за новою нормативною грошовою оцінкою, що буде затверджена </w:t>
            </w:r>
            <w:r>
              <w:rPr>
                <w:rFonts w:ascii="Times New Roman" w:hAnsi="Times New Roman" w:cs="Times New Roman"/>
                <w:sz w:val="28"/>
                <w:szCs w:val="28"/>
              </w:rPr>
              <w:t>сільською</w:t>
            </w:r>
            <w:r w:rsidRPr="00F96072">
              <w:rPr>
                <w:rFonts w:ascii="Times New Roman" w:hAnsi="Times New Roman" w:cs="Times New Roman"/>
                <w:sz w:val="28"/>
                <w:szCs w:val="28"/>
              </w:rPr>
              <w:t xml:space="preserve"> радою.</w:t>
            </w:r>
          </w:p>
        </w:tc>
      </w:tr>
      <w:tr w:rsidR="00DA3E14" w14:paraId="419BD460" w14:textId="77777777" w:rsidTr="00DA3E14">
        <w:tc>
          <w:tcPr>
            <w:tcW w:w="3190" w:type="dxa"/>
          </w:tcPr>
          <w:p w14:paraId="410E30B8" w14:textId="77777777"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Потенційні інвестори з інших регіонів</w:t>
            </w:r>
          </w:p>
        </w:tc>
        <w:tc>
          <w:tcPr>
            <w:tcW w:w="3190" w:type="dxa"/>
          </w:tcPr>
          <w:p w14:paraId="586FE586" w14:textId="77777777"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Можливість порівняння розміру нормативної грошової оцінки земель населеного пункту з іншими адміністративними одиницями та вирішення питання початку бізнесу у найбільш привабливому регіоні</w:t>
            </w:r>
          </w:p>
        </w:tc>
        <w:tc>
          <w:tcPr>
            <w:tcW w:w="3191" w:type="dxa"/>
          </w:tcPr>
          <w:p w14:paraId="57C527FC" w14:textId="77777777"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відсутні</w:t>
            </w:r>
          </w:p>
        </w:tc>
      </w:tr>
      <w:tr w:rsidR="00DA3E14" w14:paraId="08895791" w14:textId="77777777" w:rsidTr="00DA3E14">
        <w:tc>
          <w:tcPr>
            <w:tcW w:w="3190" w:type="dxa"/>
          </w:tcPr>
          <w:p w14:paraId="122F3AF3" w14:textId="77777777"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Фізичні та юридичні особи, які планують бути землевласниками (землекористувачами)</w:t>
            </w:r>
          </w:p>
        </w:tc>
        <w:tc>
          <w:tcPr>
            <w:tcW w:w="3190" w:type="dxa"/>
          </w:tcPr>
          <w:p w14:paraId="38F5281C" w14:textId="77777777"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Можливість заздалегідь розрахувати розміри можливих податків і врахувати усі ризики</w:t>
            </w:r>
          </w:p>
        </w:tc>
        <w:tc>
          <w:tcPr>
            <w:tcW w:w="3191" w:type="dxa"/>
          </w:tcPr>
          <w:p w14:paraId="30109DFA" w14:textId="77777777"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t>відсутні</w:t>
            </w:r>
          </w:p>
        </w:tc>
      </w:tr>
      <w:tr w:rsidR="00DA3E14" w14:paraId="0391F258" w14:textId="77777777" w:rsidTr="00DA3E14">
        <w:tc>
          <w:tcPr>
            <w:tcW w:w="3190" w:type="dxa"/>
          </w:tcPr>
          <w:p w14:paraId="17F0FDB1" w14:textId="36C2AE32"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t xml:space="preserve">Мешканці, що проживають на території </w:t>
            </w:r>
            <w:proofErr w:type="spellStart"/>
            <w:r>
              <w:rPr>
                <w:rFonts w:ascii="Times New Roman" w:hAnsi="Times New Roman" w:cs="Times New Roman"/>
                <w:sz w:val="28"/>
                <w:szCs w:val="28"/>
              </w:rPr>
              <w:t>с.</w:t>
            </w:r>
            <w:r w:rsidR="007F11D7">
              <w:rPr>
                <w:rFonts w:ascii="Times New Roman" w:hAnsi="Times New Roman" w:cs="Times New Roman"/>
                <w:sz w:val="28"/>
                <w:szCs w:val="28"/>
              </w:rPr>
              <w:t>Лютіж</w:t>
            </w:r>
            <w:proofErr w:type="spellEnd"/>
            <w:r w:rsidR="000222E8">
              <w:rPr>
                <w:rFonts w:ascii="Times New Roman" w:hAnsi="Times New Roman" w:cs="Times New Roman"/>
                <w:sz w:val="28"/>
                <w:szCs w:val="28"/>
              </w:rPr>
              <w:t xml:space="preserve"> </w:t>
            </w:r>
            <w:r w:rsidR="000222E8">
              <w:rPr>
                <w:rFonts w:ascii="Times New Roman" w:hAnsi="Times New Roman" w:cs="Times New Roman"/>
                <w:sz w:val="28"/>
                <w:szCs w:val="28"/>
              </w:rPr>
              <w:lastRenderedPageBreak/>
              <w:t>Петрівці</w:t>
            </w:r>
          </w:p>
        </w:tc>
        <w:tc>
          <w:tcPr>
            <w:tcW w:w="3190" w:type="dxa"/>
          </w:tcPr>
          <w:p w14:paraId="134122A1" w14:textId="40497557" w:rsidR="00DA3E14" w:rsidRDefault="001A03D4" w:rsidP="001A03D4">
            <w:pPr>
              <w:rPr>
                <w:rFonts w:ascii="Times New Roman" w:hAnsi="Times New Roman" w:cs="Times New Roman"/>
                <w:sz w:val="28"/>
                <w:szCs w:val="28"/>
              </w:rPr>
            </w:pPr>
            <w:r w:rsidRPr="00F96072">
              <w:rPr>
                <w:rFonts w:ascii="Times New Roman" w:hAnsi="Times New Roman" w:cs="Times New Roman"/>
                <w:sz w:val="28"/>
                <w:szCs w:val="28"/>
              </w:rPr>
              <w:lastRenderedPageBreak/>
              <w:t>Додаткові надходження до</w:t>
            </w:r>
            <w:r>
              <w:rPr>
                <w:rFonts w:ascii="Times New Roman" w:hAnsi="Times New Roman" w:cs="Times New Roman"/>
                <w:sz w:val="28"/>
                <w:szCs w:val="28"/>
              </w:rPr>
              <w:t xml:space="preserve"> Петрівського</w:t>
            </w:r>
            <w:r w:rsidRPr="00F96072">
              <w:rPr>
                <w:rFonts w:ascii="Times New Roman" w:hAnsi="Times New Roman" w:cs="Times New Roman"/>
                <w:sz w:val="28"/>
                <w:szCs w:val="28"/>
              </w:rPr>
              <w:t xml:space="preserve"> </w:t>
            </w:r>
            <w:r>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w:t>
            </w:r>
            <w:r w:rsidRPr="00F96072">
              <w:rPr>
                <w:rFonts w:ascii="Times New Roman" w:hAnsi="Times New Roman" w:cs="Times New Roman"/>
                <w:sz w:val="28"/>
                <w:szCs w:val="28"/>
              </w:rPr>
              <w:lastRenderedPageBreak/>
              <w:t xml:space="preserve">дозволять виділяти більше коштів на соціально-економічний розвиток </w:t>
            </w:r>
            <w:r>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Pr="00F96072">
              <w:rPr>
                <w:rFonts w:ascii="Times New Roman" w:hAnsi="Times New Roman" w:cs="Times New Roman"/>
                <w:sz w:val="28"/>
                <w:szCs w:val="28"/>
              </w:rPr>
              <w:t xml:space="preserve"> Прозорість дій влади.</w:t>
            </w:r>
          </w:p>
        </w:tc>
        <w:tc>
          <w:tcPr>
            <w:tcW w:w="3191" w:type="dxa"/>
          </w:tcPr>
          <w:p w14:paraId="44DA3E39" w14:textId="77777777" w:rsidR="00DA3E14" w:rsidRDefault="001A03D4" w:rsidP="009731A6">
            <w:pPr>
              <w:rPr>
                <w:rFonts w:ascii="Times New Roman" w:hAnsi="Times New Roman" w:cs="Times New Roman"/>
                <w:sz w:val="28"/>
                <w:szCs w:val="28"/>
              </w:rPr>
            </w:pPr>
            <w:r w:rsidRPr="00F96072">
              <w:rPr>
                <w:rFonts w:ascii="Times New Roman" w:hAnsi="Times New Roman" w:cs="Times New Roman"/>
                <w:sz w:val="28"/>
                <w:szCs w:val="28"/>
              </w:rPr>
              <w:lastRenderedPageBreak/>
              <w:t>відсутні</w:t>
            </w:r>
          </w:p>
        </w:tc>
      </w:tr>
    </w:tbl>
    <w:p w14:paraId="110AC116" w14:textId="77777777" w:rsidR="00DA3E14" w:rsidRDefault="00DA3E14" w:rsidP="009731A6">
      <w:pPr>
        <w:spacing w:after="0" w:line="240" w:lineRule="auto"/>
        <w:ind w:firstLine="708"/>
        <w:rPr>
          <w:rFonts w:ascii="Times New Roman" w:hAnsi="Times New Roman" w:cs="Times New Roman"/>
          <w:sz w:val="28"/>
          <w:szCs w:val="28"/>
        </w:rPr>
      </w:pPr>
    </w:p>
    <w:p w14:paraId="649E156C" w14:textId="28E8B5F9"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Таким чином прийняття даного рішення не потребує фінансових витрат з </w:t>
      </w:r>
      <w:r w:rsidR="001A03D4">
        <w:rPr>
          <w:rFonts w:ascii="Times New Roman" w:hAnsi="Times New Roman" w:cs="Times New Roman"/>
          <w:sz w:val="28"/>
          <w:szCs w:val="28"/>
        </w:rPr>
        <w:t>сільського</w:t>
      </w:r>
      <w:r w:rsidRPr="00F96072">
        <w:rPr>
          <w:rFonts w:ascii="Times New Roman" w:hAnsi="Times New Roman" w:cs="Times New Roman"/>
          <w:sz w:val="28"/>
          <w:szCs w:val="28"/>
        </w:rPr>
        <w:t xml:space="preserve"> бюджету. Головним результатом прийняття цього акту є затвердження нормативної грошової оцінки земель населеного пункту </w:t>
      </w:r>
      <w:r w:rsidR="001A03D4">
        <w:rPr>
          <w:rFonts w:ascii="Times New Roman" w:hAnsi="Times New Roman" w:cs="Times New Roman"/>
          <w:sz w:val="28"/>
          <w:szCs w:val="28"/>
        </w:rPr>
        <w:t xml:space="preserve">села </w:t>
      </w:r>
      <w:r w:rsidR="007F11D7">
        <w:rPr>
          <w:rFonts w:ascii="Times New Roman" w:hAnsi="Times New Roman" w:cs="Times New Roman"/>
          <w:sz w:val="28"/>
          <w:szCs w:val="28"/>
        </w:rPr>
        <w:t>Лютіж</w:t>
      </w:r>
      <w:r w:rsidRPr="00F96072">
        <w:rPr>
          <w:rFonts w:ascii="Times New Roman" w:hAnsi="Times New Roman" w:cs="Times New Roman"/>
          <w:sz w:val="28"/>
          <w:szCs w:val="28"/>
        </w:rPr>
        <w:t xml:space="preserve"> відповідно до чинного законодавства. </w:t>
      </w:r>
    </w:p>
    <w:p w14:paraId="1FA8C56D" w14:textId="77777777" w:rsidR="001A03D4" w:rsidRDefault="001A03D4" w:rsidP="009731A6">
      <w:pPr>
        <w:spacing w:after="0" w:line="240" w:lineRule="auto"/>
        <w:ind w:firstLine="708"/>
        <w:rPr>
          <w:rFonts w:ascii="Times New Roman" w:hAnsi="Times New Roman" w:cs="Times New Roman"/>
          <w:sz w:val="28"/>
          <w:szCs w:val="28"/>
        </w:rPr>
      </w:pPr>
    </w:p>
    <w:p w14:paraId="28AA9D5F" w14:textId="77777777"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10. Оцінка можливості впорядження та виконання вимог регуляторного акту залежно від ресурсів, якими розпоряджаються органи державної влади, органи місцевого самоврядування, фізичні та юридичні особи, які повинні впроваджувати або виконувати ці вимоги.</w:t>
      </w:r>
    </w:p>
    <w:p w14:paraId="346416E3" w14:textId="77777777"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Реалізація запропонованого регуляторного акту не потребує додаткових матеріальних та фінансових витрат органів місцевого самоврядування з бюджету </w:t>
      </w:r>
      <w:r w:rsidR="001A03D4">
        <w:rPr>
          <w:rFonts w:ascii="Times New Roman" w:hAnsi="Times New Roman" w:cs="Times New Roman"/>
          <w:sz w:val="28"/>
          <w:szCs w:val="28"/>
        </w:rPr>
        <w:t>Петрівської сільської</w:t>
      </w:r>
      <w:r w:rsidRPr="00F96072">
        <w:rPr>
          <w:rFonts w:ascii="Times New Roman" w:hAnsi="Times New Roman" w:cs="Times New Roman"/>
          <w:sz w:val="28"/>
          <w:szCs w:val="28"/>
        </w:rPr>
        <w:t xml:space="preserve"> територіальної громади. Додаткові витрати на виконання вимог регуляторного акту з боку держави також не передбачено. </w:t>
      </w:r>
    </w:p>
    <w:p w14:paraId="7ECEBFFA" w14:textId="77777777" w:rsidR="001A03D4" w:rsidRDefault="001A03D4" w:rsidP="009731A6">
      <w:pPr>
        <w:spacing w:after="0" w:line="240" w:lineRule="auto"/>
        <w:ind w:firstLine="708"/>
        <w:rPr>
          <w:rFonts w:ascii="Times New Roman" w:hAnsi="Times New Roman" w:cs="Times New Roman"/>
          <w:sz w:val="28"/>
          <w:szCs w:val="28"/>
        </w:rPr>
      </w:pPr>
    </w:p>
    <w:p w14:paraId="5CA7DEE4" w14:textId="77777777"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11. Оцінка ризику впливу зовнішніх чинників на дію регуляторного акту.</w:t>
      </w:r>
      <w:r w:rsidRPr="00F96072">
        <w:rPr>
          <w:rFonts w:ascii="Times New Roman" w:hAnsi="Times New Roman" w:cs="Times New Roman"/>
          <w:sz w:val="28"/>
          <w:szCs w:val="28"/>
        </w:rPr>
        <w:t xml:space="preserve"> </w:t>
      </w:r>
    </w:p>
    <w:p w14:paraId="2F1EC172" w14:textId="77777777"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Вплив зовнішніх факторів на виконання регуляторного акту виключається, окрім змін в чинному законодавстві з питань регулювання земельних відносин та оподаткування. При настанні зазначених подій до регуляторного акту будуть внесені відповідні зміни. </w:t>
      </w:r>
    </w:p>
    <w:p w14:paraId="49F00C7A" w14:textId="77777777" w:rsidR="001A03D4" w:rsidRDefault="001A03D4" w:rsidP="009731A6">
      <w:pPr>
        <w:spacing w:after="0" w:line="240" w:lineRule="auto"/>
        <w:ind w:firstLine="708"/>
        <w:rPr>
          <w:rFonts w:ascii="Times New Roman" w:hAnsi="Times New Roman" w:cs="Times New Roman"/>
          <w:sz w:val="28"/>
          <w:szCs w:val="28"/>
        </w:rPr>
      </w:pPr>
    </w:p>
    <w:p w14:paraId="191B8AE6" w14:textId="77777777"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12. Термін дії регуляторного акта.</w:t>
      </w:r>
      <w:r w:rsidRPr="00F96072">
        <w:rPr>
          <w:rFonts w:ascii="Times New Roman" w:hAnsi="Times New Roman" w:cs="Times New Roman"/>
          <w:sz w:val="28"/>
          <w:szCs w:val="28"/>
        </w:rPr>
        <w:t xml:space="preserve"> </w:t>
      </w:r>
    </w:p>
    <w:p w14:paraId="50AC6695" w14:textId="77777777"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Відповідно до статті 18 Закону України «Про оцінку земель» нормативна грошова оцінка земельних ділянок, розташованих у межах населених пунктів, незалежно від їх цільового призначення, проводиться не рідше одного разу на 5–7 років. </w:t>
      </w:r>
    </w:p>
    <w:p w14:paraId="00E8317B" w14:textId="77777777" w:rsidR="001A03D4" w:rsidRDefault="001A03D4" w:rsidP="009731A6">
      <w:pPr>
        <w:spacing w:after="0" w:line="240" w:lineRule="auto"/>
        <w:ind w:firstLine="708"/>
        <w:rPr>
          <w:rFonts w:ascii="Times New Roman" w:hAnsi="Times New Roman" w:cs="Times New Roman"/>
          <w:sz w:val="28"/>
          <w:szCs w:val="28"/>
        </w:rPr>
      </w:pPr>
    </w:p>
    <w:p w14:paraId="66BEFCDF" w14:textId="77777777"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13. Визначення показників результативності рішення.</w:t>
      </w:r>
      <w:r w:rsidRPr="00F96072">
        <w:rPr>
          <w:rFonts w:ascii="Times New Roman" w:hAnsi="Times New Roman" w:cs="Times New Roman"/>
          <w:sz w:val="28"/>
          <w:szCs w:val="28"/>
        </w:rPr>
        <w:t xml:space="preserve"> </w:t>
      </w:r>
    </w:p>
    <w:p w14:paraId="47F7D1E7" w14:textId="7C99CC65" w:rsidR="001A03D4" w:rsidRDefault="00F96072" w:rsidP="001A03D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До показників результативності дії акта належать обсяги надходжень коштів від сплати за землю на території </w:t>
      </w:r>
      <w:r w:rsidR="001A03D4">
        <w:rPr>
          <w:rFonts w:ascii="Times New Roman" w:hAnsi="Times New Roman" w:cs="Times New Roman"/>
          <w:sz w:val="28"/>
          <w:szCs w:val="28"/>
        </w:rPr>
        <w:t>Петрівської сільської ради</w:t>
      </w:r>
      <w:r w:rsidRPr="00F96072">
        <w:rPr>
          <w:rFonts w:ascii="Times New Roman" w:hAnsi="Times New Roman" w:cs="Times New Roman"/>
          <w:sz w:val="28"/>
          <w:szCs w:val="28"/>
        </w:rPr>
        <w:t xml:space="preserve">. Дія рішення поширюється на платників місцевих податків і зборів у </w:t>
      </w:r>
      <w:r w:rsidR="00F82854">
        <w:rPr>
          <w:rFonts w:ascii="Times New Roman" w:hAnsi="Times New Roman" w:cs="Times New Roman"/>
          <w:sz w:val="28"/>
          <w:szCs w:val="28"/>
        </w:rPr>
        <w:t xml:space="preserve">селі </w:t>
      </w:r>
      <w:r w:rsidR="007F11D7">
        <w:rPr>
          <w:rFonts w:ascii="Times New Roman" w:hAnsi="Times New Roman" w:cs="Times New Roman"/>
          <w:sz w:val="28"/>
          <w:szCs w:val="28"/>
        </w:rPr>
        <w:t>Лютіж</w:t>
      </w:r>
      <w:r w:rsidRPr="00F96072">
        <w:rPr>
          <w:rFonts w:ascii="Times New Roman" w:hAnsi="Times New Roman" w:cs="Times New Roman"/>
          <w:sz w:val="28"/>
          <w:szCs w:val="28"/>
        </w:rPr>
        <w:t xml:space="preserve">. Розмір коштів і час, що витрачатимуться платниками місцевих податків і зборів, пов’язані з виконанням вимог даного акта, не зміняться. </w:t>
      </w:r>
    </w:p>
    <w:p w14:paraId="093C5686" w14:textId="77777777" w:rsidR="001A03D4" w:rsidRDefault="001A03D4" w:rsidP="009731A6">
      <w:pPr>
        <w:spacing w:after="0" w:line="240" w:lineRule="auto"/>
        <w:ind w:firstLine="708"/>
        <w:rPr>
          <w:rFonts w:ascii="Times New Roman" w:hAnsi="Times New Roman" w:cs="Times New Roman"/>
          <w:sz w:val="28"/>
          <w:szCs w:val="28"/>
        </w:rPr>
      </w:pPr>
    </w:p>
    <w:p w14:paraId="6AD010B8" w14:textId="77777777" w:rsidR="001A03D4" w:rsidRDefault="00F96072" w:rsidP="009731A6">
      <w:pPr>
        <w:spacing w:after="0" w:line="240" w:lineRule="auto"/>
        <w:ind w:firstLine="708"/>
        <w:rPr>
          <w:rFonts w:ascii="Times New Roman" w:hAnsi="Times New Roman" w:cs="Times New Roman"/>
          <w:sz w:val="28"/>
          <w:szCs w:val="28"/>
        </w:rPr>
      </w:pPr>
      <w:r w:rsidRPr="001A03D4">
        <w:rPr>
          <w:rFonts w:ascii="Times New Roman" w:hAnsi="Times New Roman" w:cs="Times New Roman"/>
          <w:b/>
          <w:sz w:val="28"/>
          <w:szCs w:val="28"/>
        </w:rPr>
        <w:t>14. Заходи щодо відстеження результативності рішення.</w:t>
      </w:r>
      <w:r w:rsidRPr="00F96072">
        <w:rPr>
          <w:rFonts w:ascii="Times New Roman" w:hAnsi="Times New Roman" w:cs="Times New Roman"/>
          <w:sz w:val="28"/>
          <w:szCs w:val="28"/>
        </w:rPr>
        <w:t xml:space="preserve"> </w:t>
      </w:r>
    </w:p>
    <w:p w14:paraId="4B1E4BF8" w14:textId="77777777"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Для відстеження буде застосовано аналіз даних бюджетної та податкової звітності. </w:t>
      </w:r>
    </w:p>
    <w:p w14:paraId="64553CF0" w14:textId="77777777"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lastRenderedPageBreak/>
        <w:t xml:space="preserve">Під час прийняття регуляторного акта, у встановлені чинним законодавством строки, постійна </w:t>
      </w:r>
      <w:r w:rsidR="001A03D4">
        <w:rPr>
          <w:rFonts w:ascii="Times New Roman" w:hAnsi="Times New Roman" w:cs="Times New Roman"/>
          <w:sz w:val="28"/>
          <w:szCs w:val="28"/>
        </w:rPr>
        <w:t xml:space="preserve">профільна </w:t>
      </w:r>
      <w:r w:rsidRPr="00F96072">
        <w:rPr>
          <w:rFonts w:ascii="Times New Roman" w:hAnsi="Times New Roman" w:cs="Times New Roman"/>
          <w:sz w:val="28"/>
          <w:szCs w:val="28"/>
        </w:rPr>
        <w:t xml:space="preserve">депутатська комісія з метою оцінки стану суспільних відносин, на врегулювання яких спрямована дія акта, проводитиме базове відстеження результативності дії акта. </w:t>
      </w:r>
    </w:p>
    <w:p w14:paraId="350FA6D8" w14:textId="77777777"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Не пізніше двох років після набрання чинності регуляторним актом, з метою оцінки ступеня досягнення цим актом визначених цілей, буде здійснене повторне відстеження результативності дії акта. </w:t>
      </w:r>
    </w:p>
    <w:p w14:paraId="34807646" w14:textId="77777777" w:rsidR="001A03D4" w:rsidRDefault="00F96072" w:rsidP="00F82854">
      <w:pPr>
        <w:spacing w:after="0" w:line="240" w:lineRule="auto"/>
        <w:ind w:firstLine="708"/>
        <w:jc w:val="both"/>
        <w:rPr>
          <w:rFonts w:ascii="Times New Roman" w:hAnsi="Times New Roman" w:cs="Times New Roman"/>
          <w:sz w:val="28"/>
          <w:szCs w:val="28"/>
        </w:rPr>
      </w:pPr>
      <w:r w:rsidRPr="00F96072">
        <w:rPr>
          <w:rFonts w:ascii="Times New Roman" w:hAnsi="Times New Roman" w:cs="Times New Roman"/>
          <w:sz w:val="28"/>
          <w:szCs w:val="28"/>
        </w:rPr>
        <w:t xml:space="preserve">Кожні три роки з моменту виконання заходів щодо проведення повторного відстеження результативності дії акта, при умові його чинності, проводитиметься періодичне відстеження результативності цього акта. </w:t>
      </w:r>
    </w:p>
    <w:p w14:paraId="3F46320C" w14:textId="77777777" w:rsidR="001A03D4" w:rsidRDefault="001A03D4" w:rsidP="009731A6">
      <w:pPr>
        <w:spacing w:after="0" w:line="240" w:lineRule="auto"/>
        <w:ind w:firstLine="708"/>
        <w:rPr>
          <w:rFonts w:ascii="Times New Roman" w:hAnsi="Times New Roman" w:cs="Times New Roman"/>
          <w:sz w:val="28"/>
          <w:szCs w:val="28"/>
        </w:rPr>
      </w:pPr>
    </w:p>
    <w:p w14:paraId="02FACF4E" w14:textId="77777777" w:rsidR="001A03D4" w:rsidRDefault="001A03D4" w:rsidP="009731A6">
      <w:pPr>
        <w:spacing w:after="0" w:line="240" w:lineRule="auto"/>
        <w:ind w:firstLine="708"/>
        <w:rPr>
          <w:rFonts w:ascii="Times New Roman" w:hAnsi="Times New Roman" w:cs="Times New Roman"/>
          <w:sz w:val="28"/>
          <w:szCs w:val="28"/>
        </w:rPr>
      </w:pPr>
    </w:p>
    <w:p w14:paraId="6AEF87C0" w14:textId="77777777" w:rsidR="00213651" w:rsidRPr="001A03D4" w:rsidRDefault="001A03D4" w:rsidP="001A03D4">
      <w:pPr>
        <w:spacing w:after="0" w:line="240" w:lineRule="auto"/>
        <w:rPr>
          <w:rFonts w:ascii="Times New Roman" w:hAnsi="Times New Roman" w:cs="Times New Roman"/>
          <w:b/>
          <w:sz w:val="28"/>
          <w:szCs w:val="28"/>
        </w:rPr>
      </w:pPr>
      <w:r w:rsidRPr="001A03D4">
        <w:rPr>
          <w:rFonts w:ascii="Times New Roman" w:hAnsi="Times New Roman" w:cs="Times New Roman"/>
          <w:b/>
          <w:sz w:val="28"/>
          <w:szCs w:val="28"/>
        </w:rPr>
        <w:t>Сільсь</w:t>
      </w:r>
      <w:r>
        <w:rPr>
          <w:rFonts w:ascii="Times New Roman" w:hAnsi="Times New Roman" w:cs="Times New Roman"/>
          <w:b/>
          <w:sz w:val="28"/>
          <w:szCs w:val="28"/>
        </w:rPr>
        <w:t xml:space="preserve">кий голова </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sidR="00F82854">
        <w:rPr>
          <w:rFonts w:ascii="Times New Roman" w:hAnsi="Times New Roman" w:cs="Times New Roman"/>
          <w:b/>
          <w:sz w:val="28"/>
          <w:szCs w:val="28"/>
        </w:rPr>
        <w:tab/>
      </w:r>
      <w:r w:rsidRPr="001A03D4">
        <w:rPr>
          <w:rFonts w:ascii="Times New Roman" w:hAnsi="Times New Roman" w:cs="Times New Roman"/>
          <w:b/>
          <w:sz w:val="28"/>
          <w:szCs w:val="28"/>
        </w:rPr>
        <w:t>Радіон СТ</w:t>
      </w:r>
      <w:r w:rsidR="003338BE">
        <w:rPr>
          <w:rFonts w:ascii="Times New Roman" w:hAnsi="Times New Roman" w:cs="Times New Roman"/>
          <w:b/>
          <w:sz w:val="28"/>
          <w:szCs w:val="28"/>
        </w:rPr>
        <w:t>А</w:t>
      </w:r>
      <w:r w:rsidRPr="001A03D4">
        <w:rPr>
          <w:rFonts w:ascii="Times New Roman" w:hAnsi="Times New Roman" w:cs="Times New Roman"/>
          <w:b/>
          <w:sz w:val="28"/>
          <w:szCs w:val="28"/>
        </w:rPr>
        <w:t>РЕНЬКИЙ</w:t>
      </w:r>
    </w:p>
    <w:sectPr w:rsidR="00213651" w:rsidRPr="001A03D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7041A"/>
    <w:rsid w:val="000209FE"/>
    <w:rsid w:val="000222E8"/>
    <w:rsid w:val="001437C0"/>
    <w:rsid w:val="001924FF"/>
    <w:rsid w:val="001A03D4"/>
    <w:rsid w:val="00213651"/>
    <w:rsid w:val="0022358C"/>
    <w:rsid w:val="003338BE"/>
    <w:rsid w:val="00394C03"/>
    <w:rsid w:val="004A791F"/>
    <w:rsid w:val="004B3EFE"/>
    <w:rsid w:val="00754795"/>
    <w:rsid w:val="007F11D7"/>
    <w:rsid w:val="00845FF8"/>
    <w:rsid w:val="0087041A"/>
    <w:rsid w:val="008A1098"/>
    <w:rsid w:val="008C6632"/>
    <w:rsid w:val="009731A6"/>
    <w:rsid w:val="00AB2161"/>
    <w:rsid w:val="00B13B20"/>
    <w:rsid w:val="00D31F01"/>
    <w:rsid w:val="00DA3E14"/>
    <w:rsid w:val="00F82854"/>
    <w:rsid w:val="00F96072"/>
    <w:rsid w:val="00FB2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C418C8"/>
  <w15:docId w15:val="{E284BD20-3FDB-4022-A7E5-D1FC6503CC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A3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14628</Words>
  <Characters>8339</Characters>
  <Application>Microsoft Office Word</Application>
  <DocSecurity>0</DocSecurity>
  <Lines>69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Dell</cp:lastModifiedBy>
  <cp:revision>3</cp:revision>
  <dcterms:created xsi:type="dcterms:W3CDTF">2026-02-27T07:58:00Z</dcterms:created>
  <dcterms:modified xsi:type="dcterms:W3CDTF">2026-04-30T11:38:00Z</dcterms:modified>
</cp:coreProperties>
</file>