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D9E" w:rsidRPr="00F71913" w:rsidRDefault="00E84D9E" w:rsidP="00E84D9E">
      <w:pPr>
        <w:pStyle w:val="1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 w:val="0"/>
          <w:bCs w:val="0"/>
          <w:color w:val="1D1D1B"/>
          <w:sz w:val="28"/>
          <w:szCs w:val="28"/>
        </w:rPr>
      </w:pPr>
      <w:r w:rsidRPr="00F71913">
        <w:rPr>
          <w:b w:val="0"/>
          <w:bCs w:val="0"/>
          <w:color w:val="1D1D1B"/>
          <w:sz w:val="28"/>
          <w:szCs w:val="28"/>
        </w:rPr>
        <w:t>ЗУ №3219: Пом’якшення штрафних санкцій у сфері торгівлі, громадського харчування та послуг</w:t>
      </w:r>
    </w:p>
    <w:p w:rsidR="00E84D9E" w:rsidRPr="00F71913" w:rsidRDefault="00E84D9E" w:rsidP="00E84D9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84D9E" w:rsidRPr="00F71913" w:rsidRDefault="00E84D9E" w:rsidP="00E84D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71913">
        <w:rPr>
          <w:color w:val="000000"/>
          <w:sz w:val="28"/>
          <w:szCs w:val="28"/>
        </w:rPr>
        <w:t>Головне управління ДПС у Київській області звертає увагу суб’єктів господарювання на те, що у зв’язку із прийняттям Закону України від 30.06.2023 року № 3219-ІХ «Про внесення змін до Податкового кодексу України та інших законів України щодо особливостей оподаткування у період дії воєнного стану» (далі – Закон України № 3219) відновлено відповідальність за порушення порядку здійснення розрахунків за товари (послуги). </w:t>
      </w:r>
    </w:p>
    <w:p w:rsidR="00E84D9E" w:rsidRPr="00F71913" w:rsidRDefault="00E84D9E" w:rsidP="00E84D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71913">
        <w:rPr>
          <w:color w:val="000000"/>
          <w:sz w:val="28"/>
          <w:szCs w:val="28"/>
        </w:rPr>
        <w:t>Разом з тим, Закон України № 3219 звільняє низку суб’єктів господарювання від відповідальності за порушення вимог Закону України № 265, вчинені ними у період з 01 січня 2022 до 01 жовтня 2023 року - крім відповідальності за порушення порядку здійснення розрахункових операцій при продажу підакцизних товарів, здійснення діяльності з купівлі/продажу іноземної валюти, діяльності у сфері організації та проведення азартних ігор. </w:t>
      </w:r>
    </w:p>
    <w:p w:rsidR="00E84D9E" w:rsidRPr="00F71913" w:rsidRDefault="00E84D9E" w:rsidP="00E84D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71913">
        <w:rPr>
          <w:color w:val="000000"/>
          <w:sz w:val="28"/>
          <w:szCs w:val="28"/>
        </w:rPr>
        <w:t>З 01 жовтня 2023 року суб’єкти господарювання не нестимуть відповідальності за порушення вимог Закону України № 265, вчинені ними при продажу товарів, наданні послуг на: </w:t>
      </w:r>
    </w:p>
    <w:p w:rsidR="00E84D9E" w:rsidRPr="00F71913" w:rsidRDefault="00E84D9E" w:rsidP="00E84D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71913">
        <w:rPr>
          <w:color w:val="000000"/>
          <w:sz w:val="28"/>
          <w:szCs w:val="28"/>
        </w:rPr>
        <w:t>- тимчасово окупованих РФ територіях України, – по дату завершення тимчасової окупації відповідних територій; </w:t>
      </w:r>
    </w:p>
    <w:p w:rsidR="00E84D9E" w:rsidRPr="00F71913" w:rsidRDefault="00E84D9E" w:rsidP="00E84D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71913">
        <w:rPr>
          <w:color w:val="000000"/>
          <w:sz w:val="28"/>
          <w:szCs w:val="28"/>
        </w:rPr>
        <w:t>- територіях активних бойових дій, – по дату завершення бойових дій на відповідних територіях; </w:t>
      </w:r>
    </w:p>
    <w:p w:rsidR="00E84D9E" w:rsidRPr="00F71913" w:rsidRDefault="00E84D9E" w:rsidP="00E84D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71913">
        <w:rPr>
          <w:color w:val="000000"/>
          <w:sz w:val="28"/>
          <w:szCs w:val="28"/>
        </w:rPr>
        <w:t>- територіях можливих бойових дій, – по дату припинення можливості бойових дій на відповідних територіях - крім відповідальності за порушення порядку здійснення розрахункових операцій при продажу підакцизних товарів. </w:t>
      </w:r>
    </w:p>
    <w:p w:rsidR="00E84D9E" w:rsidRPr="00F71913" w:rsidRDefault="00E84D9E" w:rsidP="00E84D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71913">
        <w:rPr>
          <w:color w:val="000000"/>
          <w:sz w:val="28"/>
          <w:szCs w:val="28"/>
        </w:rPr>
        <w:t>Законом України №3219 зменшено розміри штрафних (фінансових) санкцій для фізичних осіб-підприємців, які є платниками єдиного податку:</w:t>
      </w:r>
    </w:p>
    <w:p w:rsidR="00E84D9E" w:rsidRPr="00F71913" w:rsidRDefault="00E84D9E" w:rsidP="00E84D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71913">
        <w:rPr>
          <w:color w:val="000000"/>
          <w:sz w:val="28"/>
          <w:szCs w:val="28"/>
        </w:rPr>
        <w:t>із 100 % при першому порушенні та 150 % при повторному порушенні до 25 % та 50 % вартості проданих з порушенням товарів (робіт, послуг), відповідно. </w:t>
      </w:r>
    </w:p>
    <w:p w:rsidR="00E84D9E" w:rsidRPr="00F71913" w:rsidRDefault="00E84D9E" w:rsidP="00E84D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71913">
        <w:rPr>
          <w:color w:val="000000"/>
          <w:sz w:val="28"/>
          <w:szCs w:val="28"/>
        </w:rPr>
        <w:t xml:space="preserve">Таке пом’якшення не торкнеться платників, зареєстрованих платниками податку на додану вартість; які здійснюють діяльність з продажу підакцизних товарів; технічно складних побутових товарів, що підлягають гарантійному ремонту; лікарських засобів, та виробів медичного призначення; ювелірних та побутових виробів з дорогоцінних металів, дорогоцінного каміння, дорогоцінного каміння органогенного утворення та </w:t>
      </w:r>
      <w:proofErr w:type="spellStart"/>
      <w:r w:rsidRPr="00F71913">
        <w:rPr>
          <w:color w:val="000000"/>
          <w:sz w:val="28"/>
          <w:szCs w:val="28"/>
        </w:rPr>
        <w:t>напівдорогоцінного</w:t>
      </w:r>
      <w:proofErr w:type="spellEnd"/>
      <w:r w:rsidRPr="00F71913">
        <w:rPr>
          <w:color w:val="000000"/>
          <w:sz w:val="28"/>
          <w:szCs w:val="28"/>
        </w:rPr>
        <w:t xml:space="preserve"> каміння. </w:t>
      </w:r>
    </w:p>
    <w:p w:rsidR="00E84D9E" w:rsidRPr="00F71913" w:rsidRDefault="00E84D9E" w:rsidP="00E84D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71913">
        <w:rPr>
          <w:color w:val="000000"/>
          <w:sz w:val="28"/>
          <w:szCs w:val="28"/>
        </w:rPr>
        <w:t>Звертаємо увагу, що добровільне виконання вимог законодавства у сферу торгівлі, громадського харчування та послуг, до якого відноситься також Закон України №265, вбереже суб’єктів господарювання від додаткових витрат у вигляді штрафних (фінансових) санкцій. </w:t>
      </w:r>
    </w:p>
    <w:p w:rsidR="00E84D9E" w:rsidRPr="00F71913" w:rsidRDefault="00E84D9E" w:rsidP="00E84D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71913">
        <w:rPr>
          <w:color w:val="000000"/>
          <w:sz w:val="28"/>
          <w:szCs w:val="28"/>
        </w:rPr>
        <w:t xml:space="preserve">ДПС при організації та здійсненні контрольно-перевірочних заходів, перевіряє лише тих суб’єктів господарювання, у діяльності яких існують </w:t>
      </w:r>
      <w:r w:rsidRPr="00F71913">
        <w:rPr>
          <w:color w:val="000000"/>
          <w:sz w:val="28"/>
          <w:szCs w:val="28"/>
        </w:rPr>
        <w:lastRenderedPageBreak/>
        <w:t>ризики порушення податкового та іншого законодавства, контроль за дотриманням якого покладено на контролюючі органи. </w:t>
      </w:r>
    </w:p>
    <w:p w:rsidR="00E84D9E" w:rsidRPr="00F71913" w:rsidRDefault="00E84D9E" w:rsidP="00E84D9E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F71913">
        <w:rPr>
          <w:color w:val="000000"/>
          <w:sz w:val="28"/>
          <w:szCs w:val="28"/>
        </w:rPr>
        <w:t>Залишаємось на зв’язку: </w:t>
      </w:r>
      <w:r w:rsidRPr="00F71913">
        <w:rPr>
          <w:color w:val="000000"/>
          <w:sz w:val="28"/>
          <w:szCs w:val="28"/>
        </w:rPr>
        <w:br/>
        <w:t>Комунікаційна платформа: </w:t>
      </w:r>
      <w:hyperlink r:id="rId4" w:history="1">
        <w:r w:rsidRPr="00F71913">
          <w:rPr>
            <w:rStyle w:val="a5"/>
            <w:color w:val="2D5CA6"/>
            <w:sz w:val="28"/>
            <w:szCs w:val="28"/>
            <w:bdr w:val="none" w:sz="0" w:space="0" w:color="auto" w:frame="1"/>
          </w:rPr>
          <w:t>kyivobl.ikc@tax.gov.ua</w:t>
        </w:r>
      </w:hyperlink>
      <w:r w:rsidRPr="00F71913">
        <w:rPr>
          <w:color w:val="000000"/>
          <w:sz w:val="28"/>
          <w:szCs w:val="28"/>
        </w:rPr>
        <w:br/>
        <w:t xml:space="preserve">Підписатись на сторінку </w:t>
      </w:r>
      <w:proofErr w:type="spellStart"/>
      <w:r w:rsidRPr="00F71913">
        <w:rPr>
          <w:color w:val="000000"/>
          <w:sz w:val="28"/>
          <w:szCs w:val="28"/>
        </w:rPr>
        <w:t>Фейсбук</w:t>
      </w:r>
      <w:proofErr w:type="spellEnd"/>
      <w:r w:rsidRPr="00F71913">
        <w:rPr>
          <w:color w:val="000000"/>
          <w:sz w:val="28"/>
          <w:szCs w:val="28"/>
        </w:rPr>
        <w:t xml:space="preserve"> ГУ ДПС у Київській області </w:t>
      </w:r>
      <w:hyperlink r:id="rId5" w:history="1">
        <w:r w:rsidRPr="00F71913">
          <w:rPr>
            <w:rStyle w:val="a5"/>
            <w:color w:val="2D5CA6"/>
            <w:sz w:val="28"/>
            <w:szCs w:val="28"/>
            <w:bdr w:val="none" w:sz="0" w:space="0" w:color="auto" w:frame="1"/>
          </w:rPr>
          <w:t>https://www.facebook.com/tax.kyiv.oblast</w:t>
        </w:r>
      </w:hyperlink>
    </w:p>
    <w:p w:rsidR="00E84D9E" w:rsidRPr="00F71913" w:rsidRDefault="00E84D9E" w:rsidP="00E84D9E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71913">
        <w:rPr>
          <w:rFonts w:ascii="Times New Roman" w:hAnsi="Times New Roman" w:cs="Times New Roman"/>
          <w:color w:val="000000"/>
          <w:sz w:val="28"/>
          <w:szCs w:val="28"/>
        </w:rPr>
        <w:t>ГУ ДПС у Київській області</w:t>
      </w:r>
    </w:p>
    <w:p w:rsidR="00E84D9E" w:rsidRPr="00F71913" w:rsidRDefault="00E84D9E" w:rsidP="00E84D9E">
      <w:pPr>
        <w:pStyle w:val="1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 w:val="0"/>
          <w:bCs w:val="0"/>
          <w:color w:val="1D1D1B"/>
          <w:sz w:val="28"/>
          <w:szCs w:val="28"/>
        </w:rPr>
      </w:pPr>
    </w:p>
    <w:p w:rsidR="00C36E92" w:rsidRDefault="00C36E92">
      <w:bookmarkStart w:id="0" w:name="_GoBack"/>
      <w:bookmarkEnd w:id="0"/>
    </w:p>
    <w:sectPr w:rsidR="00C36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D9E"/>
    <w:rsid w:val="00C36E92"/>
    <w:rsid w:val="00E84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0C8779-8CA4-4CA5-B03E-4C2B0C1F1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D9E"/>
    <w:pPr>
      <w:spacing w:after="200" w:line="276" w:lineRule="auto"/>
    </w:pPr>
    <w:rPr>
      <w:lang w:val="uk-UA"/>
    </w:rPr>
  </w:style>
  <w:style w:type="paragraph" w:styleId="1">
    <w:name w:val="heading 1"/>
    <w:basedOn w:val="a"/>
    <w:link w:val="10"/>
    <w:uiPriority w:val="9"/>
    <w:qFormat/>
    <w:rsid w:val="00E84D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4D9E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paragraph" w:styleId="a3">
    <w:name w:val="Normal (Web)"/>
    <w:aliases w:val="Обычный (веб) Знак1,Знак13 Знак,Знак1 Знак,Знак11,Обычный (Web),Обычный (веб)1,Обычный (веб)31,Обычный (веб)111,Обычный (веб)2111,Обычный (веб)11111,Обычный (веб)3,Обычный (веб)11,Обычный (Web)1,Обычный (веб)3 Знак,Обычный (веб) Знак Зна"/>
    <w:basedOn w:val="a"/>
    <w:link w:val="a4"/>
    <w:uiPriority w:val="99"/>
    <w:unhideWhenUsed/>
    <w:qFormat/>
    <w:rsid w:val="00E84D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5">
    <w:name w:val="Hyperlink"/>
    <w:basedOn w:val="a0"/>
    <w:uiPriority w:val="99"/>
    <w:unhideWhenUsed/>
    <w:rsid w:val="00E84D9E"/>
    <w:rPr>
      <w:color w:val="0000FF"/>
      <w:u w:val="single"/>
    </w:rPr>
  </w:style>
  <w:style w:type="character" w:customStyle="1" w:styleId="a4">
    <w:name w:val="Обычный (веб) Знак"/>
    <w:aliases w:val="Обычный (веб) Знак1 Знак,Знак13 Знак Знак,Знак1 Знак Знак,Знак11 Знак,Обычный (Web) Знак,Обычный (веб)1 Знак,Обычный (веб)31 Знак,Обычный (веб)111 Знак,Обычный (веб)2111 Знак,Обычный (веб)11111 Знак,Обычный (веб)3 Знак1"/>
    <w:link w:val="a3"/>
    <w:uiPriority w:val="99"/>
    <w:locked/>
    <w:rsid w:val="00E84D9E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tax.kyiv.oblast" TargetMode="External"/><Relationship Id="rId4" Type="http://schemas.openxmlformats.org/officeDocument/2006/relationships/hyperlink" Target="mailto:kyivobl.ikc@tax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2023-10-02T16:51:00Z</dcterms:created>
  <dcterms:modified xsi:type="dcterms:W3CDTF">2023-10-02T16:52:00Z</dcterms:modified>
</cp:coreProperties>
</file>